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13 DARI 15 — SERI BUKU AJAR INTI KOMPETENSI DOKTER SPESIALIS OBSTETRI DAN GINEKOLOGI (SPOG)</w:t>
      </w:r>
    </w:p>
    <w:p>
      <w:pPr>
        <w:spacing w:after="500"/>
        <w:jc w:val="center"/>
      </w:pPr>
      <w:r>
        <w:rPr>
          <w:b/>
          <w:bCs/>
          <w:color w:val="1C2749"/>
          <w:sz w:val="40"/>
          <w:szCs w:val="40"/>
        </w:rPr>
        <w:t xml:space="preserve">Penguasaan Pengetahuan Biomedik, Farmakologi, dan Ilmu Dasar Penunjang Praktik Obstetri dan Ginekologi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menghimpun penguasaan pengetahuan dasar yang mendasari kompetensi klinis dan prosedural pada Buku 2 sampai 12, sebagaimana ditetapkan dalam Area Kompetensi Penguasaan Pengetahuan Medis pada Standar Kompetensi. Penguasaan pengetahuan ini bukan sekadar hafalan teoretis, melainkan dasar penalaran klinis yang harus dapat diterapkan pada situasi nyata.</w:t>
      </w:r>
    </w:p>
    <w:p>
      <w:pPr>
        <w:pStyle w:val="Heading1"/>
        <w:pBdr>
          <w:bottom w:val="single" w:color="A9812F" w:sz="6" w:space="4"/>
        </w:pBdr>
        <w:spacing w:after="200" w:before="400"/>
      </w:pPr>
      <w:r>
        <w:t xml:space="preserve">BAB II — ANATOMI DAN FISIOLOGI REPRODUKSI</w:t>
      </w:r>
    </w:p>
    <w:p>
      <w:pPr>
        <w:spacing w:after="160" w:line="300"/>
        <w:jc w:val="both"/>
      </w:pPr>
      <w:r>
        <w:rPr>
          <w:color w:val="161B2E"/>
          <w:sz w:val="22"/>
          <w:szCs w:val="22"/>
        </w:rPr>
        <w:t xml:space="preserve">Penguasaan anatomi panggul, organ reproduksi, dan perubahan fisiologis kehamilan (kardiovaskular, respirasi, hematologi, endokrin) menjadi dasar interpretasi temuan klinis normal versus patologis pada setiap tahap kehamilan dan siklus reproduksi.</w:t>
      </w:r>
    </w:p>
    <w:p>
      <w:pPr>
        <w:pStyle w:val="Heading1"/>
        <w:pBdr>
          <w:bottom w:val="single" w:color="A9812F" w:sz="6" w:space="4"/>
        </w:pBdr>
        <w:spacing w:after="200" w:before="400"/>
      </w:pPr>
      <w:r>
        <w:t xml:space="preserve">BAB III — FARMAKOLOGI DALAM OBSTETRI DAN GINEKOLOGI</w:t>
      </w:r>
    </w:p>
    <w:p>
      <w:pPr>
        <w:pStyle w:val="ListParagraph"/>
        <w:numPr>
          <w:ilvl w:val="0"/>
          <w:numId w:val="2"/>
        </w:numPr>
        <w:spacing w:after="100" w:line="290"/>
        <w:jc w:val="both"/>
      </w:pPr>
      <w:r>
        <w:rPr>
          <w:color w:val="161B2E"/>
          <w:sz w:val="22"/>
          <w:szCs w:val="22"/>
        </w:rPr>
        <w:t xml:space="preserve">Farmakologi uterotonika (oksitosin, ergometrin, misoprostol, karbetosin) dan penggunaannya pada tata laksana perdarahan pascapersalinan.</w:t>
      </w:r>
    </w:p>
    <w:p>
      <w:pPr>
        <w:pStyle w:val="ListParagraph"/>
        <w:numPr>
          <w:ilvl w:val="0"/>
          <w:numId w:val="2"/>
        </w:numPr>
        <w:spacing w:after="100" w:line="290"/>
        <w:jc w:val="both"/>
      </w:pPr>
      <w:r>
        <w:rPr>
          <w:color w:val="161B2E"/>
          <w:sz w:val="22"/>
          <w:szCs w:val="22"/>
        </w:rPr>
        <w:t xml:space="preserve">Farmakologi tokolitik dan kortikosteroid untuk pematangan paru janin pada ancaman persalinan preterm.</w:t>
      </w:r>
    </w:p>
    <w:p>
      <w:pPr>
        <w:pStyle w:val="ListParagraph"/>
        <w:numPr>
          <w:ilvl w:val="0"/>
          <w:numId w:val="2"/>
        </w:numPr>
        <w:spacing w:after="100" w:line="290"/>
        <w:jc w:val="both"/>
      </w:pPr>
      <w:r>
        <w:rPr>
          <w:color w:val="161B2E"/>
          <w:sz w:val="22"/>
          <w:szCs w:val="22"/>
        </w:rPr>
        <w:t xml:space="preserve">Farmakologi antihipertensi yang aman dalam kehamilan dan magnesium sulfat untuk preeklamsia/eklamsia.</w:t>
      </w:r>
    </w:p>
    <w:p>
      <w:pPr>
        <w:pStyle w:val="ListParagraph"/>
        <w:numPr>
          <w:ilvl w:val="0"/>
          <w:numId w:val="2"/>
        </w:numPr>
        <w:spacing w:after="100" w:line="290"/>
        <w:jc w:val="both"/>
      </w:pPr>
      <w:r>
        <w:rPr>
          <w:color w:val="161B2E"/>
          <w:sz w:val="22"/>
          <w:szCs w:val="22"/>
        </w:rPr>
        <w:t xml:space="preserve">Farmakologi kontrasepsi hormonal dan non-hormonal, termasuk interaksi obat dan kontraindikasi.</w:t>
      </w:r>
    </w:p>
    <w:p>
      <w:pPr>
        <w:pStyle w:val="ListParagraph"/>
        <w:numPr>
          <w:ilvl w:val="0"/>
          <w:numId w:val="2"/>
        </w:numPr>
        <w:spacing w:after="100" w:line="290"/>
        <w:jc w:val="both"/>
      </w:pPr>
      <w:r>
        <w:rPr>
          <w:color w:val="161B2E"/>
          <w:sz w:val="22"/>
          <w:szCs w:val="22"/>
        </w:rPr>
        <w:t xml:space="preserve">Prinsip keamanan obat dalam kehamilan dan laktasi (kategori risiko, prinsip peresepan rasional).</w:t>
      </w:r>
    </w:p>
    <w:p>
      <w:pPr>
        <w:pStyle w:val="ListParagraph"/>
        <w:numPr>
          <w:ilvl w:val="0"/>
          <w:numId w:val="2"/>
        </w:numPr>
        <w:spacing w:after="100" w:line="290"/>
        <w:jc w:val="both"/>
      </w:pPr>
      <w:r>
        <w:rPr>
          <w:color w:val="161B2E"/>
          <w:sz w:val="22"/>
          <w:szCs w:val="22"/>
        </w:rPr>
        <w:t xml:space="preserve">Antibiotik empiris untuk infeksi obstetri dan ginekologi umum, mempertimbangkan pola resistensi lokal.</w:t>
      </w:r>
    </w:p>
    <w:p>
      <w:pPr>
        <w:pStyle w:val="Heading1"/>
        <w:pBdr>
          <w:bottom w:val="single" w:color="A9812F" w:sz="6" w:space="4"/>
        </w:pBdr>
        <w:spacing w:after="200" w:before="400"/>
      </w:pPr>
      <w:r>
        <w:t xml:space="preserve">BAB IV — PATOFISIOLOGI KONDISI KUNCI</w:t>
      </w:r>
    </w:p>
    <w:p>
      <w:pPr>
        <w:spacing w:after="160" w:line="300"/>
        <w:jc w:val="both"/>
      </w:pPr>
      <w:r>
        <w:rPr>
          <w:color w:val="161B2E"/>
          <w:sz w:val="22"/>
          <w:szCs w:val="22"/>
        </w:rPr>
        <w:t xml:space="preserve">Pemahaman mendalam mengenai patofisiologi preeklamsia (disfungsi endotel dan plasentasi abnormal), mekanisme perdarahan pascapersalinan (empat T: Tone, Trauma, Tissue, Thrombin), patofisiologi infeksi puerperium, dan mekanisme hormonal siklus haid menjadi dasar penalaran klinis yang tidak tergantikan oleh sekadar mengikuti algoritma tata laksana secara mekanis.</w:t>
      </w:r>
    </w:p>
    <w:p>
      <w:pPr>
        <w:pStyle w:val="Heading1"/>
        <w:pBdr>
          <w:bottom w:val="single" w:color="A9812F" w:sz="6" w:space="4"/>
        </w:pBdr>
        <w:spacing w:after="200" w:before="400"/>
      </w:pPr>
      <w:r>
        <w:t xml:space="preserve">BAB V — PRINSIP EPIDEMIOLOGI DAN BIOSTATISTIK TERAPAN</w:t>
      </w:r>
    </w:p>
    <w:p>
      <w:pPr>
        <w:spacing w:after="160" w:line="300"/>
        <w:jc w:val="both"/>
      </w:pPr>
      <w:r>
        <w:rPr>
          <w:color w:val="161B2E"/>
          <w:sz w:val="22"/>
          <w:szCs w:val="22"/>
        </w:rPr>
        <w:t xml:space="preserve">Penguasaan dasar epidemiologi klinis dan biostatistik diperlukan untuk mendukung kompetensi telaah kritis literatur yang dibahas pada Buku 1, termasuk pemahaman ukuran risiko, validitas studi, dan penerapan hasil penelitian pada konteks praktik klinis lokal.</w:t>
      </w:r>
    </w:p>
    <w:p>
      <w:pPr>
        <w:pStyle w:val="Heading1"/>
        <w:pBdr>
          <w:bottom w:val="single" w:color="A9812F" w:sz="6" w:space="4"/>
        </w:pBdr>
        <w:spacing w:after="200" w:before="400"/>
      </w:pPr>
      <w:r>
        <w:t xml:space="preserve">BAB VI — KONTRIBUSI DIVISI OBGINSOS</w:t>
      </w:r>
    </w:p>
    <w:p>
      <w:pPr>
        <w:pStyle w:val="Heading2"/>
        <w:spacing w:after="140" w:before="280"/>
      </w:pPr>
      <w:r>
        <w:t xml:space="preserve">A. Deskripsi</w:t>
      </w:r>
    </w:p>
    <w:p>
      <w:pPr>
        <w:spacing w:after="160" w:line="300"/>
        <w:jc w:val="both"/>
      </w:pPr>
      <w:r>
        <w:rPr>
          <w:color w:val="161B2E"/>
          <w:sz w:val="22"/>
          <w:szCs w:val="22"/>
        </w:rPr>
        <w:t xml:space="preserve">Farmakologi yang diajarkan di ruang kuliah mengasumsikan obat yang direkomendasikan selalu tersedia dan terjangkau. Kenyataan di banyak fasilitas kesehatan Indonesia berbeda: obat esensial kadang kosong, obat originator jauh lebih mahal dari kemampuan pasien, dan rantai pasok ke daerah terpencil sering terputus. Divisi Obginsos mengajarkan Anda meresepkan secara rasional dalam realita keterbatasan ini, bukan hanya dalam kondisi ideal buku teks.</w:t>
      </w:r>
    </w:p>
    <w:p>
      <w:pPr>
        <w:pStyle w:val="Heading2"/>
        <w:spacing w:after="140" w:before="280"/>
      </w:pPr>
      <w:r>
        <w:t xml:space="preserve">B. Akses terhadap Obat Esensial dalam Praktik Obstetri dan Ginekologi</w:t>
      </w:r>
    </w:p>
    <w:p>
      <w:pPr>
        <w:spacing w:after="160" w:line="300"/>
        <w:jc w:val="both"/>
      </w:pPr>
      <w:r>
        <w:rPr>
          <w:color w:val="161B2E"/>
          <w:sz w:val="22"/>
          <w:szCs w:val="22"/>
        </w:rPr>
        <w:t xml:space="preserve">Materi ini membahas prinsip peresepan rasional yang mempertimbangkan ketersediaan dan keterjangkauan: prioritas penggunaan obat esensial dan generik yang termasuk Formularium Nasional dan ditanggung jaminan kesehatan, pemahaman terhadap rantai pasok obat-obat kritis (uterotonika, magnesium sulfat, antibiotik lini pertama) di fasilitas dengan keterbatasan logistik, serta komunikasi jujur kepada pasien mengenai pilihan terapi yang sesuai dengan kemampuan finansial mereka tanpa mengorbankan efikasi klinis. Divisi Obginsos menekankan bahwa kesadaran terhadap akses obat adalah perpanjangan dari kesadaran biaya yang dibahas lebih luas pada Buku 14.</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peserta didik hendak meresepkan terapi hormon kombinasi bermerek tertentu untuk tata laksana perdarahan uterus abnormal, namun pasien tidak mampu menebusnya dan berisiko putus terapi. Pembimbingan Divisi Obginsos mendorong peninjauan ulang resep menuju alternatif generik yang setara secara farmakologis dan tersedia dalam Formularium Nasional, disertai penjelasan kepada pasien bahwa pilihan tersebut sama efektifnya — sehingga kepatuhan terapi tetap terjaga tanpa membebani kondisi ekonomi pasien.</w:t>
      </w:r>
    </w:p>
    <w:p>
      <w:pPr>
        <w:pStyle w:val="Heading1"/>
        <w:pBdr>
          <w:bottom w:val="single" w:color="A9812F" w:sz="6" w:space="4"/>
        </w:pBdr>
        <w:spacing w:after="200" w:before="400"/>
      </w:pPr>
      <w:r>
        <w:t xml:space="preserve">BAB VII — RINGKASAN KOMPETENSI YANG HARUS DICAPAI</w:t>
      </w:r>
    </w:p>
    <w:p>
      <w:pPr>
        <w:pStyle w:val="ListParagraph"/>
        <w:numPr>
          <w:ilvl w:val="0"/>
          <w:numId w:val="2"/>
        </w:numPr>
        <w:spacing w:after="100" w:line="290"/>
        <w:jc w:val="both"/>
      </w:pPr>
      <w:r>
        <w:rPr>
          <w:color w:val="161B2E"/>
          <w:sz w:val="22"/>
          <w:szCs w:val="22"/>
        </w:rPr>
        <w:t xml:space="preserve">Menguasai anatomi dan fisiologi reproduksi sebagai dasar interpretasi klinis.</w:t>
      </w:r>
    </w:p>
    <w:p>
      <w:pPr>
        <w:pStyle w:val="ListParagraph"/>
        <w:numPr>
          <w:ilvl w:val="0"/>
          <w:numId w:val="2"/>
        </w:numPr>
        <w:spacing w:after="100" w:line="290"/>
        <w:jc w:val="both"/>
      </w:pPr>
      <w:r>
        <w:rPr>
          <w:color w:val="161B2E"/>
          <w:sz w:val="22"/>
          <w:szCs w:val="22"/>
        </w:rPr>
        <w:t xml:space="preserve">Menerapkan farmakologi obstetri-ginekologi secara rasional dan aman.</w:t>
      </w:r>
    </w:p>
    <w:p>
      <w:pPr>
        <w:pStyle w:val="ListParagraph"/>
        <w:numPr>
          <w:ilvl w:val="0"/>
          <w:numId w:val="2"/>
        </w:numPr>
        <w:spacing w:after="100" w:line="290"/>
        <w:jc w:val="both"/>
      </w:pPr>
      <w:r>
        <w:rPr>
          <w:color w:val="161B2E"/>
          <w:sz w:val="22"/>
          <w:szCs w:val="22"/>
        </w:rPr>
        <w:t xml:space="preserve">Menjelaskan patofisiologi kondisi kunci sebagai dasar penalaran klinis.</w:t>
      </w:r>
    </w:p>
    <w:p>
      <w:pPr>
        <w:pStyle w:val="ListParagraph"/>
        <w:numPr>
          <w:ilvl w:val="0"/>
          <w:numId w:val="2"/>
        </w:numPr>
        <w:spacing w:after="100" w:line="290"/>
        <w:jc w:val="both"/>
      </w:pPr>
      <w:r>
        <w:rPr>
          <w:color w:val="161B2E"/>
          <w:sz w:val="22"/>
          <w:szCs w:val="22"/>
        </w:rPr>
        <w:t xml:space="preserve">Menerapkan prinsip epidemiologi dan biostatistik dalam praktik berbasis bukti.</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13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2026-07-13T20:30:10.476Z</dcterms:created>
  <dcterms:modified xsi:type="dcterms:W3CDTF">2026-07-13T20:30:10.477Z</dcterms:modified>
</cp:coreProperties>
</file>

<file path=docProps/custom.xml><?xml version="1.0" encoding="utf-8"?>
<Properties xmlns="http://schemas.openxmlformats.org/officeDocument/2006/custom-properties" xmlns:vt="http://schemas.openxmlformats.org/officeDocument/2006/docPropsVTypes"/>
</file>