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1600"/>
      </w:pPr>
    </w:p>
    <w:p>
      <w:pPr>
        <w:spacing w:after="80"/>
        <w:jc w:val="center"/>
      </w:pPr>
      <w:r>
        <w:rPr>
          <w:b/>
          <w:bCs/>
          <w:color w:val="A9812F"/>
          <w:spacing w:val="20"/>
          <w:sz w:val="20"/>
          <w:szCs w:val="20"/>
        </w:rPr>
        <w:t xml:space="preserve">PERPUSTAKAAN DIGITAL ABBA</w:t>
      </w:r>
    </w:p>
    <w:p>
      <w:pPr>
        <w:spacing w:after="600"/>
        <w:jc w:val="center"/>
      </w:pPr>
      <w:r>
        <w:rPr>
          <w:color w:val="5B6478"/>
          <w:sz w:val="18"/>
          <w:szCs w:val="18"/>
        </w:rPr>
        <w:t xml:space="preserve">Jl. Danau Kerinci Raya No. 9, Malang 65138</w:t>
      </w:r>
    </w:p>
    <w:p>
      <w:pPr>
        <w:spacing w:after="200"/>
        <w:jc w:val="center"/>
      </w:pPr>
      <w:r>
        <w:rPr>
          <w:color w:val="2C3A64"/>
          <w:spacing w:val="10"/>
          <w:sz w:val="18"/>
          <w:szCs w:val="18"/>
        </w:rPr>
        <w:t xml:space="preserve">BUKU 0 DARI 15 — SERI BUKU AJAR INTI KOMPETENSI DOKTER SPESIALIS OBSTETRI DAN GINEKOLOGI (SPOG)</w:t>
      </w:r>
    </w:p>
    <w:p>
      <w:pPr>
        <w:spacing w:after="500"/>
        <w:jc w:val="center"/>
      </w:pPr>
      <w:r>
        <w:rPr>
          <w:b/>
          <w:bCs/>
          <w:color w:val="1C2749"/>
          <w:sz w:val="40"/>
          <w:szCs w:val="40"/>
        </w:rPr>
        <w:t xml:space="preserve">Orientasi: Peta Kompetensi dan Jenjang Karier Dokter Spesialis Obstetri dan Ginekologi</w:t>
      </w:r>
    </w:p>
    <w:p>
      <w:pPr>
        <w:spacing w:after="60"/>
        <w:jc w:val="center"/>
      </w:pPr>
      <w:r>
        <w:rPr>
          <w:color w:val="5B6478"/>
          <w:sz w:val="20"/>
          <w:szCs w:val="20"/>
        </w:rPr>
        <w:t xml:space="preserve">Disusun oleh</w:t>
      </w:r>
    </w:p>
    <w:p>
      <w:pPr>
        <w:spacing w:after="900"/>
        <w:jc w:val="center"/>
      </w:pPr>
      <w:r>
        <w:rPr>
          <w:b/>
          <w:bCs/>
          <w:color w:val="161B2E"/>
          <w:sz w:val="22"/>
          <w:szCs w:val="22"/>
        </w:rPr>
        <w:t xml:space="preserve">Dr.dr. H. Budi Siswanto, Sp.OG., Subsp.Obginsos., SH., S.Kom.</w:t>
      </w:r>
    </w:p>
    <w:p>
      <w:pPr>
        <w:jc w:val="center"/>
      </w:pPr>
      <w:r>
        <w:rPr>
          <w:b/>
          <w:bCs/>
          <w:color w:val="A9812F"/>
          <w:sz w:val="20"/>
          <w:szCs w:val="20"/>
        </w:rPr>
        <w:t xml:space="preserve">2026</w:t>
      </w:r>
    </w:p>
    <w:p>
      <w:r>
        <w:br w:type="page"/>
      </w:r>
    </w:p>
    <w:p>
      <w:pPr>
        <w:pStyle w:val="Heading1"/>
        <w:pBdr>
          <w:bottom w:val="single" w:color="A9812F" w:sz="6" w:space="4"/>
        </w:pBdr>
        <w:spacing w:after="200" w:before="400"/>
      </w:pPr>
      <w:r>
        <w:t xml:space="preserve">BAB I — MENGAPA BUKU INI DISUSUN</w:t>
      </w:r>
    </w:p>
    <w:p>
      <w:pPr>
        <w:spacing w:after="160" w:line="300"/>
        <w:jc w:val="both"/>
      </w:pPr>
      <w:r>
        <w:rPr>
          <w:color w:val="161B2E"/>
          <w:sz w:val="22"/>
          <w:szCs w:val="22"/>
        </w:rPr>
        <w:t xml:space="preserve">Buku ini adalah gerbang masuk bagi seluruh Seri Buku Ajar Inti Kompetensi Dokter Spesialis Obstetri dan Ginekologi (SpOG). Ditujukan bagi dokter umum yang sedang menempuh Program Studi Dokter Spesialis Obstetri dan Ginekologi (PPDS Obgin), buku ini memberikan peta menyeluruh atas apa yang akan dipelajari, bagaimana kompetensi tersebut disusun secara resmi oleh Konsil Kesehatan Indonesia, dan bagaimana posisi seorang Dokter Spesialis berbeda dari posisi Dokter Subspesialis yang ditempuh setelahnya.</w:t>
      </w:r>
    </w:p>
    <w:p>
      <w:pPr>
        <w:spacing w:after="160" w:line="300"/>
        <w:jc w:val="both"/>
      </w:pPr>
      <w:r>
        <w:rPr>
          <w:color w:val="161B2E"/>
          <w:sz w:val="22"/>
          <w:szCs w:val="22"/>
        </w:rPr>
        <w:t xml:space="preserve">Seluruh 15 buku dalam seri ini disusun berbasis Keputusan Ketua Konsil Kesehatan Indonesia Nomor HK.01.02/KKI/1318/2026 tentang Standar Kompetensi Dokter Spesialis dan Subspesialis Bidang Obstetri dan Ginekologi, khusus bagian yang mengatur capaian kompetensi Dokter Spesialis (bukan Subspesialis).</w:t>
      </w:r>
    </w:p>
    <w:p>
      <w:pPr>
        <w:pBdr>
          <w:left w:val="single" w:color="A9812F" w:sz="16" w:space="8"/>
        </w:pBdr>
        <w:spacing w:after="200" w:before="120" w:line="300"/>
        <w:ind w:left="504"/>
      </w:pPr>
      <w:r>
        <w:rPr>
          <w:i/>
          <w:iCs/>
          <w:color w:val="5B6478"/>
          <w:sz w:val="22"/>
          <w:szCs w:val="22"/>
        </w:rPr>
        <w:t xml:space="preserve">Seri buku ini diselenggarakan dan menjadi tanggung jawab akademik Divisi Obstetri Ginekologi Sosial (Obginsos). Ini bukan buku ajar SpOG generik: setiap kompetensi klinis dasar dalam seri ini diajarkan oleh Dokter Pembimbing Klinis bersubspesialisasi Obginsos, dan karenanya konsisten disertai lensa sosial-medis, kewaspadaan mediko-legal, dan pendekatan biopsikososial pada setiap topik — bukan hanya pada bab yang eksplisit membahas isu sosial.</w:t>
      </w:r>
    </w:p>
    <w:p>
      <w:pPr>
        <w:spacing w:after="160" w:line="300"/>
        <w:jc w:val="both"/>
      </w:pPr>
      <w:r>
        <w:rPr>
          <w:color w:val="161B2E"/>
          <w:sz w:val="22"/>
          <w:szCs w:val="22"/>
        </w:rPr>
        <w:t xml:space="preserve">Untuk mewujudkan komitmen ini secara konkret, Buku 1 sampai dengan Buku 14 masing-masing ditutup dengan satu bab bertajuk "Kontribusi Divisi Obginsos", yang menyampaikan tiga komponen tetap: teks motivasi tentang mengapa perspektif sosial-medis penting untuk topik tersebut, materi diperkaya yang menghubungkan kompetensi klinis dengan determinan sosial dan aspek mediko-legal terkait, dan ilustrasi kasus lapangan yang menunjukkan penerapan nyata. Landasan filosofis penyelenggaraan pendidikan oleh Divisi Obginsos dijelaskan lebih rinci pada Dokumen 7 — Filosofi dan Kekhasan Pendidikan Klinis PPDS Obgin di Bawah Bimbingan Divisi Obginsos (Klaster RS).</w:t>
      </w:r>
    </w:p>
    <w:p>
      <w:pPr>
        <w:pStyle w:val="Heading1"/>
        <w:pBdr>
          <w:bottom w:val="single" w:color="A9812F" w:sz="6" w:space="4"/>
        </w:pBdr>
        <w:spacing w:after="200" w:before="400"/>
      </w:pPr>
      <w:r>
        <w:t xml:space="preserve">BAB II — KERANGKA KUALIFIKASI NASIONAL DAN POSISI DOKTER SPESIALIS</w:t>
      </w:r>
    </w:p>
    <w:p>
      <w:pPr>
        <w:spacing w:after="160" w:line="300"/>
        <w:jc w:val="both"/>
      </w:pPr>
      <w:r>
        <w:rPr>
          <w:color w:val="161B2E"/>
          <w:sz w:val="22"/>
          <w:szCs w:val="22"/>
        </w:rPr>
        <w:t xml:space="preserve">Standar Kompetensi menempatkan Dokter Spesialis pada kesetaraan Level 8 Kerangka Kualifikasi Nasional Indonesia (KKNI) — setara ISCED Level 7 dan AQRF/EQF Level 7 — sebagai advanced professional practitioner yang mampu menyelesaikan masalah kompleks pada bidang keilmuannya, bekerja lintas disiplin, dan mengambil keputusan klinis secara mandiri. Dokter Subspesialis, yang ditempuh setelah menyelesaikan pendidikan Dokter Spesialis, berada pada tingkat kualifikasi lebih lanjut dengan lingkup keahlian yang lebih sempit namun lebih dalam pada satu subbidang tertentu (mis. Fetomaternal, Fertilitas dan Endokrinologi Reproduksi, Onkologi Ginekologi, Uroginekologi Rekonstruksi, atau Obstetri Ginekologi Sosial).</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008"/>
        <w:gridCol w:w="3008"/>
        <w:gridCol w:w="3008"/>
      </w:tblGrid>
      <w:tr>
        <w:trPr>
          <w:tblHeader/>
        </w:trPr>
        <w:tc>
          <w:tcPr>
            <w:tcW w:type="dxa" w:w="3008"/>
            <w:shd w:fill="2C3A64" w:val="clear"/>
            <w:tcMar>
              <w:top w:type="dxa" w:w="100"/>
              <w:left w:type="dxa" w:w="100"/>
              <w:bottom w:type="dxa" w:w="100"/>
              <w:right w:type="dxa" w:w="100"/>
            </w:tcMar>
          </w:tcPr>
          <w:p>
            <w:r>
              <w:rPr>
                <w:b/>
                <w:bCs/>
                <w:color w:val="FFFFFF"/>
                <w:sz w:val="19"/>
                <w:szCs w:val="19"/>
              </w:rPr>
              <w:t xml:space="preserve">Posisi</w:t>
            </w:r>
          </w:p>
        </w:tc>
        <w:tc>
          <w:tcPr>
            <w:tcW w:type="dxa" w:w="3008"/>
            <w:shd w:fill="2C3A64" w:val="clear"/>
            <w:tcMar>
              <w:top w:type="dxa" w:w="100"/>
              <w:left w:type="dxa" w:w="100"/>
              <w:bottom w:type="dxa" w:w="100"/>
              <w:right w:type="dxa" w:w="100"/>
            </w:tcMar>
          </w:tcPr>
          <w:p>
            <w:r>
              <w:rPr>
                <w:b/>
                <w:bCs/>
                <w:color w:val="FFFFFF"/>
                <w:sz w:val="19"/>
                <w:szCs w:val="19"/>
              </w:rPr>
              <w:t xml:space="preserve">Kesetaraan Kualifikasi</w:t>
            </w:r>
          </w:p>
        </w:tc>
        <w:tc>
          <w:tcPr>
            <w:tcW w:type="dxa" w:w="3008"/>
            <w:shd w:fill="2C3A64" w:val="clear"/>
            <w:tcMar>
              <w:top w:type="dxa" w:w="100"/>
              <w:left w:type="dxa" w:w="100"/>
              <w:bottom w:type="dxa" w:w="100"/>
              <w:right w:type="dxa" w:w="100"/>
            </w:tcMar>
          </w:tcPr>
          <w:p>
            <w:r>
              <w:rPr>
                <w:b/>
                <w:bCs/>
                <w:color w:val="FFFFFF"/>
                <w:sz w:val="19"/>
                <w:szCs w:val="19"/>
              </w:rPr>
              <w:t xml:space="preserve">Sifat Praktik</w:t>
            </w:r>
          </w:p>
        </w:tc>
      </w:tr>
      <w:tr>
        <w:tc>
          <w:tcPr>
            <w:tcW w:type="dxa" w:w="3008"/>
            <w:shd w:fill="F5F6FA" w:val="clear"/>
            <w:tcMar>
              <w:top w:type="dxa" w:w="90"/>
              <w:left w:type="dxa" w:w="100"/>
              <w:bottom w:type="dxa" w:w="90"/>
              <w:right w:type="dxa" w:w="100"/>
            </w:tcMar>
          </w:tcPr>
          <w:p>
            <w:r>
              <w:rPr>
                <w:color w:val="161B2E"/>
                <w:sz w:val="19"/>
                <w:szCs w:val="19"/>
              </w:rPr>
              <w:t xml:space="preserve">Dokter Umum</w:t>
            </w:r>
          </w:p>
        </w:tc>
        <w:tc>
          <w:tcPr>
            <w:tcW w:type="dxa" w:w="3008"/>
            <w:shd w:fill="F5F6FA" w:val="clear"/>
            <w:tcMar>
              <w:top w:type="dxa" w:w="90"/>
              <w:left w:type="dxa" w:w="100"/>
              <w:bottom w:type="dxa" w:w="90"/>
              <w:right w:type="dxa" w:w="100"/>
            </w:tcMar>
          </w:tcPr>
          <w:p>
            <w:r>
              <w:rPr>
                <w:color w:val="161B2E"/>
                <w:sz w:val="19"/>
                <w:szCs w:val="19"/>
              </w:rPr>
              <w:t xml:space="preserve">Level dasar praktik kedokteran umum</w:t>
            </w:r>
          </w:p>
        </w:tc>
        <w:tc>
          <w:tcPr>
            <w:tcW w:type="dxa" w:w="3008"/>
            <w:shd w:fill="F5F6FA" w:val="clear"/>
            <w:tcMar>
              <w:top w:type="dxa" w:w="90"/>
              <w:left w:type="dxa" w:w="100"/>
              <w:bottom w:type="dxa" w:w="90"/>
              <w:right w:type="dxa" w:w="100"/>
            </w:tcMar>
          </w:tcPr>
          <w:p>
            <w:r>
              <w:rPr>
                <w:color w:val="161B2E"/>
                <w:sz w:val="19"/>
                <w:szCs w:val="19"/>
              </w:rPr>
              <w:t xml:space="preserve">Generalis, merujuk kasus spesialistik</w:t>
            </w:r>
          </w:p>
        </w:tc>
      </w:tr>
      <w:tr>
        <w:tc>
          <w:tcPr>
            <w:tcW w:type="dxa" w:w="3008"/>
            <w:shd w:fill="FFFFFF" w:val="clear"/>
            <w:tcMar>
              <w:top w:type="dxa" w:w="90"/>
              <w:left w:type="dxa" w:w="100"/>
              <w:bottom w:type="dxa" w:w="90"/>
              <w:right w:type="dxa" w:w="100"/>
            </w:tcMar>
          </w:tcPr>
          <w:p>
            <w:r>
              <w:rPr>
                <w:color w:val="161B2E"/>
                <w:sz w:val="19"/>
                <w:szCs w:val="19"/>
              </w:rPr>
              <w:t xml:space="preserve">Peserta Didik PPDS (dalam proses)</w:t>
            </w:r>
          </w:p>
        </w:tc>
        <w:tc>
          <w:tcPr>
            <w:tcW w:type="dxa" w:w="3008"/>
            <w:shd w:fill="FFFFFF" w:val="clear"/>
            <w:tcMar>
              <w:top w:type="dxa" w:w="90"/>
              <w:left w:type="dxa" w:w="100"/>
              <w:bottom w:type="dxa" w:w="90"/>
              <w:right w:type="dxa" w:w="100"/>
            </w:tcMar>
          </w:tcPr>
          <w:p>
            <w:r>
              <w:rPr>
                <w:color w:val="161B2E"/>
                <w:sz w:val="19"/>
                <w:szCs w:val="19"/>
              </w:rPr>
              <w:t xml:space="preserve">Menuju Level 8 KKNI</w:t>
            </w:r>
          </w:p>
        </w:tc>
        <w:tc>
          <w:tcPr>
            <w:tcW w:type="dxa" w:w="3008"/>
            <w:shd w:fill="FFFFFF" w:val="clear"/>
            <w:tcMar>
              <w:top w:type="dxa" w:w="90"/>
              <w:left w:type="dxa" w:w="100"/>
              <w:bottom w:type="dxa" w:w="90"/>
              <w:right w:type="dxa" w:w="100"/>
            </w:tcMar>
          </w:tcPr>
          <w:p>
            <w:r>
              <w:rPr>
                <w:color w:val="161B2E"/>
                <w:sz w:val="19"/>
                <w:szCs w:val="19"/>
              </w:rPr>
              <w:t xml:space="preserve">Terbatas dan bertingkat, dalam supervisi</w:t>
            </w:r>
          </w:p>
        </w:tc>
      </w:tr>
      <w:tr>
        <w:tc>
          <w:tcPr>
            <w:tcW w:type="dxa" w:w="3008"/>
            <w:shd w:fill="F5F6FA" w:val="clear"/>
            <w:tcMar>
              <w:top w:type="dxa" w:w="90"/>
              <w:left w:type="dxa" w:w="100"/>
              <w:bottom w:type="dxa" w:w="90"/>
              <w:right w:type="dxa" w:w="100"/>
            </w:tcMar>
          </w:tcPr>
          <w:p>
            <w:r>
              <w:rPr>
                <w:color w:val="161B2E"/>
                <w:sz w:val="19"/>
                <w:szCs w:val="19"/>
              </w:rPr>
              <w:t xml:space="preserve">Dokter Spesialis (Sp.OG)</w:t>
            </w:r>
          </w:p>
        </w:tc>
        <w:tc>
          <w:tcPr>
            <w:tcW w:type="dxa" w:w="3008"/>
            <w:shd w:fill="F5F6FA" w:val="clear"/>
            <w:tcMar>
              <w:top w:type="dxa" w:w="90"/>
              <w:left w:type="dxa" w:w="100"/>
              <w:bottom w:type="dxa" w:w="90"/>
              <w:right w:type="dxa" w:w="100"/>
            </w:tcMar>
          </w:tcPr>
          <w:p>
            <w:r>
              <w:rPr>
                <w:color w:val="161B2E"/>
                <w:sz w:val="19"/>
                <w:szCs w:val="19"/>
              </w:rPr>
              <w:t xml:space="preserve">Level 8 KKNI</w:t>
            </w:r>
          </w:p>
        </w:tc>
        <w:tc>
          <w:tcPr>
            <w:tcW w:type="dxa" w:w="3008"/>
            <w:shd w:fill="F5F6FA" w:val="clear"/>
            <w:tcMar>
              <w:top w:type="dxa" w:w="90"/>
              <w:left w:type="dxa" w:w="100"/>
              <w:bottom w:type="dxa" w:w="90"/>
              <w:right w:type="dxa" w:w="100"/>
            </w:tcMar>
          </w:tcPr>
          <w:p>
            <w:r>
              <w:rPr>
                <w:color w:val="161B2E"/>
                <w:sz w:val="19"/>
                <w:szCs w:val="19"/>
              </w:rPr>
              <w:t xml:space="preserve">Mandiri penuh dalam satu bidang spesialisasi (Obstetri dan Ginekologi)</w:t>
            </w:r>
          </w:p>
        </w:tc>
      </w:tr>
      <w:tr>
        <w:tc>
          <w:tcPr>
            <w:tcW w:type="dxa" w:w="3008"/>
            <w:shd w:fill="FFFFFF" w:val="clear"/>
            <w:tcMar>
              <w:top w:type="dxa" w:w="90"/>
              <w:left w:type="dxa" w:w="100"/>
              <w:bottom w:type="dxa" w:w="90"/>
              <w:right w:type="dxa" w:w="100"/>
            </w:tcMar>
          </w:tcPr>
          <w:p>
            <w:r>
              <w:rPr>
                <w:color w:val="161B2E"/>
                <w:sz w:val="19"/>
                <w:szCs w:val="19"/>
              </w:rPr>
              <w:t xml:space="preserve">Dokter Subspesialis</w:t>
            </w:r>
          </w:p>
        </w:tc>
        <w:tc>
          <w:tcPr>
            <w:tcW w:type="dxa" w:w="3008"/>
            <w:shd w:fill="FFFFFF" w:val="clear"/>
            <w:tcMar>
              <w:top w:type="dxa" w:w="90"/>
              <w:left w:type="dxa" w:w="100"/>
              <w:bottom w:type="dxa" w:w="90"/>
              <w:right w:type="dxa" w:w="100"/>
            </w:tcMar>
          </w:tcPr>
          <w:p>
            <w:r>
              <w:rPr>
                <w:color w:val="161B2E"/>
                <w:sz w:val="19"/>
                <w:szCs w:val="19"/>
              </w:rPr>
              <w:t xml:space="preserve">Di atas Level 8 KKNI, pada subbidang spesifik</w:t>
            </w:r>
          </w:p>
        </w:tc>
        <w:tc>
          <w:tcPr>
            <w:tcW w:type="dxa" w:w="3008"/>
            <w:shd w:fill="FFFFFF" w:val="clear"/>
            <w:tcMar>
              <w:top w:type="dxa" w:w="90"/>
              <w:left w:type="dxa" w:w="100"/>
              <w:bottom w:type="dxa" w:w="90"/>
              <w:right w:type="dxa" w:w="100"/>
            </w:tcMar>
          </w:tcPr>
          <w:p>
            <w:r>
              <w:rPr>
                <w:color w:val="161B2E"/>
                <w:sz w:val="19"/>
                <w:szCs w:val="19"/>
              </w:rPr>
              <w:t xml:space="preserve">Mandiri pada subbidang, menjadi rujukan tertinggi</w:t>
            </w:r>
          </w:p>
        </w:tc>
      </w:tr>
    </w:tbl>
    <w:p>
      <w:pPr>
        <w:spacing w:after="160"/>
      </w:pPr>
    </w:p>
    <w:p>
      <w:pPr>
        <w:pStyle w:val="Heading1"/>
        <w:pBdr>
          <w:bottom w:val="single" w:color="A9812F" w:sz="6" w:space="4"/>
        </w:pBdr>
        <w:spacing w:after="200" w:before="400"/>
      </w:pPr>
      <w:r>
        <w:t xml:space="preserve">BAB III — EMPAT PILAR AREA KOMPETENSI</w:t>
      </w:r>
    </w:p>
    <w:p>
      <w:pPr>
        <w:spacing w:after="160" w:line="300"/>
        <w:jc w:val="both"/>
      </w:pPr>
      <w:r>
        <w:rPr>
          <w:color w:val="161B2E"/>
          <w:sz w:val="22"/>
          <w:szCs w:val="22"/>
        </w:rPr>
        <w:t xml:space="preserve">Standar Kompetensi mengorganisasikan capaian pembelajaran Dokter Spesialis Obstetri dan Ginekologi ke dalam beberapa Area Kompetensi besar, yang menjadi struktur organisasi bagi seluruh buku dalam seri ini:</w:t>
      </w:r>
    </w:p>
    <w:p>
      <w:pPr>
        <w:pStyle w:val="ListParagraph"/>
        <w:numPr>
          <w:ilvl w:val="0"/>
          <w:numId w:val="2"/>
        </w:numPr>
        <w:spacing w:after="100" w:line="290"/>
        <w:jc w:val="both"/>
      </w:pPr>
      <w:r>
        <w:rPr>
          <w:color w:val="161B2E"/>
          <w:sz w:val="22"/>
          <w:szCs w:val="22"/>
        </w:rPr>
        <w:t xml:space="preserve">Area Kompetensi 1 — Keselamatan Pasien dan Mutu Pelayanan (dibahas tuntas pada Buku 1).</w:t>
      </w:r>
    </w:p>
    <w:p>
      <w:pPr>
        <w:pStyle w:val="ListParagraph"/>
        <w:numPr>
          <w:ilvl w:val="0"/>
          <w:numId w:val="2"/>
        </w:numPr>
        <w:spacing w:after="100" w:line="290"/>
        <w:jc w:val="both"/>
      </w:pPr>
      <w:r>
        <w:rPr>
          <w:color w:val="161B2E"/>
          <w:sz w:val="22"/>
          <w:szCs w:val="22"/>
        </w:rPr>
        <w:t xml:space="preserve">Area Kompetensi 2 — Penguasaan Keterampilan Klinis: penatalaksanaan dan prosedur klinis atas spektrum penyakit obstetri dan ginekologi (dibahas pada Buku 2–12).</w:t>
      </w:r>
    </w:p>
    <w:p>
      <w:pPr>
        <w:pStyle w:val="ListParagraph"/>
        <w:numPr>
          <w:ilvl w:val="0"/>
          <w:numId w:val="2"/>
        </w:numPr>
        <w:spacing w:after="100" w:line="290"/>
        <w:jc w:val="both"/>
      </w:pPr>
      <w:r>
        <w:rPr>
          <w:color w:val="161B2E"/>
          <w:sz w:val="22"/>
          <w:szCs w:val="22"/>
        </w:rPr>
        <w:t xml:space="preserve">Area Kompetensi 3 — Penguasaan Pengetahuan Medis pendukung (dibahas pada Buku 13).</w:t>
      </w:r>
    </w:p>
    <w:p>
      <w:pPr>
        <w:pStyle w:val="ListParagraph"/>
        <w:numPr>
          <w:ilvl w:val="0"/>
          <w:numId w:val="2"/>
        </w:numPr>
        <w:spacing w:after="100" w:line="290"/>
        <w:jc w:val="both"/>
      </w:pPr>
      <w:r>
        <w:rPr>
          <w:color w:val="161B2E"/>
          <w:sz w:val="22"/>
          <w:szCs w:val="22"/>
        </w:rPr>
        <w:t xml:space="preserve">Area Kompetensi 4–7 — Komunikasi Interpersonal, Profesionalisme, Praktik Berbasis Sistem, dan Kesadaran Biaya (dibahas pada Buku 14).</w:t>
      </w:r>
    </w:p>
    <w:p>
      <w:pPr>
        <w:pStyle w:val="Heading1"/>
        <w:pBdr>
          <w:bottom w:val="single" w:color="A9812F" w:sz="6" w:space="4"/>
        </w:pBdr>
        <w:spacing w:after="200" w:before="400"/>
      </w:pPr>
      <w:r>
        <w:t xml:space="preserve">BAB IV — PETA 15 BUKU DALAM SERI INI</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008"/>
        <w:gridCol w:w="3008"/>
        <w:gridCol w:w="3008"/>
      </w:tblGrid>
      <w:tr>
        <w:trPr>
          <w:tblHeader/>
        </w:trPr>
        <w:tc>
          <w:tcPr>
            <w:tcW w:type="dxa" w:w="3008"/>
            <w:shd w:fill="2C3A64" w:val="clear"/>
            <w:tcMar>
              <w:top w:type="dxa" w:w="100"/>
              <w:left w:type="dxa" w:w="100"/>
              <w:bottom w:type="dxa" w:w="100"/>
              <w:right w:type="dxa" w:w="100"/>
            </w:tcMar>
          </w:tcPr>
          <w:p>
            <w:r>
              <w:rPr>
                <w:b/>
                <w:bCs/>
                <w:color w:val="FFFFFF"/>
                <w:sz w:val="19"/>
                <w:szCs w:val="19"/>
              </w:rPr>
              <w:t xml:space="preserve">Buku</w:t>
            </w:r>
          </w:p>
        </w:tc>
        <w:tc>
          <w:tcPr>
            <w:tcW w:type="dxa" w:w="3008"/>
            <w:shd w:fill="2C3A64" w:val="clear"/>
            <w:tcMar>
              <w:top w:type="dxa" w:w="100"/>
              <w:left w:type="dxa" w:w="100"/>
              <w:bottom w:type="dxa" w:w="100"/>
              <w:right w:type="dxa" w:w="100"/>
            </w:tcMar>
          </w:tcPr>
          <w:p>
            <w:r>
              <w:rPr>
                <w:b/>
                <w:bCs/>
                <w:color w:val="FFFFFF"/>
                <w:sz w:val="19"/>
                <w:szCs w:val="19"/>
              </w:rPr>
              <w:t xml:space="preserve">Judul</w:t>
            </w:r>
          </w:p>
        </w:tc>
        <w:tc>
          <w:tcPr>
            <w:tcW w:type="dxa" w:w="3008"/>
            <w:shd w:fill="2C3A64" w:val="clear"/>
            <w:tcMar>
              <w:top w:type="dxa" w:w="100"/>
              <w:left w:type="dxa" w:w="100"/>
              <w:bottom w:type="dxa" w:w="100"/>
              <w:right w:type="dxa" w:w="100"/>
            </w:tcMar>
          </w:tcPr>
          <w:p>
            <w:r>
              <w:rPr>
                <w:b/>
                <w:bCs/>
                <w:color w:val="FFFFFF"/>
                <w:sz w:val="19"/>
                <w:szCs w:val="19"/>
              </w:rPr>
              <w:t xml:space="preserve">Fokus</w:t>
            </w:r>
          </w:p>
        </w:tc>
      </w:tr>
      <w:tr>
        <w:tc>
          <w:tcPr>
            <w:tcW w:type="dxa" w:w="3008"/>
            <w:shd w:fill="F5F6FA" w:val="clear"/>
            <w:tcMar>
              <w:top w:type="dxa" w:w="90"/>
              <w:left w:type="dxa" w:w="100"/>
              <w:bottom w:type="dxa" w:w="90"/>
              <w:right w:type="dxa" w:w="100"/>
            </w:tcMar>
          </w:tcPr>
          <w:p>
            <w:r>
              <w:rPr>
                <w:color w:val="161B2E"/>
                <w:sz w:val="19"/>
                <w:szCs w:val="19"/>
              </w:rPr>
              <w:t xml:space="preserve">0</w:t>
            </w:r>
          </w:p>
        </w:tc>
        <w:tc>
          <w:tcPr>
            <w:tcW w:type="dxa" w:w="3008"/>
            <w:shd w:fill="F5F6FA" w:val="clear"/>
            <w:tcMar>
              <w:top w:type="dxa" w:w="90"/>
              <w:left w:type="dxa" w:w="100"/>
              <w:bottom w:type="dxa" w:w="90"/>
              <w:right w:type="dxa" w:w="100"/>
            </w:tcMar>
          </w:tcPr>
          <w:p>
            <w:r>
              <w:rPr>
                <w:color w:val="161B2E"/>
                <w:sz w:val="19"/>
                <w:szCs w:val="19"/>
              </w:rPr>
              <w:t xml:space="preserve">Orientasi Kompetensi SpOG</w:t>
            </w:r>
          </w:p>
        </w:tc>
        <w:tc>
          <w:tcPr>
            <w:tcW w:type="dxa" w:w="3008"/>
            <w:shd w:fill="F5F6FA" w:val="clear"/>
            <w:tcMar>
              <w:top w:type="dxa" w:w="90"/>
              <w:left w:type="dxa" w:w="100"/>
              <w:bottom w:type="dxa" w:w="90"/>
              <w:right w:type="dxa" w:w="100"/>
            </w:tcMar>
          </w:tcPr>
          <w:p>
            <w:r>
              <w:rPr>
                <w:color w:val="161B2E"/>
                <w:sz w:val="19"/>
                <w:szCs w:val="19"/>
              </w:rPr>
              <w:t xml:space="preserve">Peta keseluruhan seri (buku ini)</w:t>
            </w:r>
          </w:p>
        </w:tc>
      </w:tr>
      <w:tr>
        <w:tc>
          <w:tcPr>
            <w:tcW w:type="dxa" w:w="3008"/>
            <w:shd w:fill="FFFFFF" w:val="clear"/>
            <w:tcMar>
              <w:top w:type="dxa" w:w="90"/>
              <w:left w:type="dxa" w:w="100"/>
              <w:bottom w:type="dxa" w:w="90"/>
              <w:right w:type="dxa" w:w="100"/>
            </w:tcMar>
          </w:tcPr>
          <w:p>
            <w:r>
              <w:rPr>
                <w:color w:val="161B2E"/>
                <w:sz w:val="19"/>
                <w:szCs w:val="19"/>
              </w:rPr>
              <w:t xml:space="preserve">1</w:t>
            </w:r>
          </w:p>
        </w:tc>
        <w:tc>
          <w:tcPr>
            <w:tcW w:type="dxa" w:w="3008"/>
            <w:shd w:fill="FFFFFF" w:val="clear"/>
            <w:tcMar>
              <w:top w:type="dxa" w:w="90"/>
              <w:left w:type="dxa" w:w="100"/>
              <w:bottom w:type="dxa" w:w="90"/>
              <w:right w:type="dxa" w:w="100"/>
            </w:tcMar>
          </w:tcPr>
          <w:p>
            <w:r>
              <w:rPr>
                <w:color w:val="161B2E"/>
                <w:sz w:val="19"/>
                <w:szCs w:val="19"/>
              </w:rPr>
              <w:t xml:space="preserve">Keselamatan Pasien dan Mutu Layanan Obgin</w:t>
            </w:r>
          </w:p>
        </w:tc>
        <w:tc>
          <w:tcPr>
            <w:tcW w:type="dxa" w:w="3008"/>
            <w:shd w:fill="FFFFFF" w:val="clear"/>
            <w:tcMar>
              <w:top w:type="dxa" w:w="90"/>
              <w:left w:type="dxa" w:w="100"/>
              <w:bottom w:type="dxa" w:w="90"/>
              <w:right w:type="dxa" w:w="100"/>
            </w:tcMar>
          </w:tcPr>
          <w:p>
            <w:r>
              <w:rPr>
                <w:color w:val="161B2E"/>
                <w:sz w:val="19"/>
                <w:szCs w:val="19"/>
              </w:rPr>
              <w:t xml:space="preserve">Area Kompetensi 1</w:t>
            </w:r>
          </w:p>
        </w:tc>
      </w:tr>
      <w:tr>
        <w:tc>
          <w:tcPr>
            <w:tcW w:type="dxa" w:w="3008"/>
            <w:shd w:fill="F5F6FA" w:val="clear"/>
            <w:tcMar>
              <w:top w:type="dxa" w:w="90"/>
              <w:left w:type="dxa" w:w="100"/>
              <w:bottom w:type="dxa" w:w="90"/>
              <w:right w:type="dxa" w:w="100"/>
            </w:tcMar>
          </w:tcPr>
          <w:p>
            <w:r>
              <w:rPr>
                <w:color w:val="161B2E"/>
                <w:sz w:val="19"/>
                <w:szCs w:val="19"/>
              </w:rPr>
              <w:t xml:space="preserve">2</w:t>
            </w:r>
          </w:p>
        </w:tc>
        <w:tc>
          <w:tcPr>
            <w:tcW w:type="dxa" w:w="3008"/>
            <w:shd w:fill="F5F6FA" w:val="clear"/>
            <w:tcMar>
              <w:top w:type="dxa" w:w="90"/>
              <w:left w:type="dxa" w:w="100"/>
              <w:bottom w:type="dxa" w:w="90"/>
              <w:right w:type="dxa" w:w="100"/>
            </w:tcMar>
          </w:tcPr>
          <w:p>
            <w:r>
              <w:rPr>
                <w:color w:val="161B2E"/>
                <w:sz w:val="19"/>
                <w:szCs w:val="19"/>
              </w:rPr>
              <w:t xml:space="preserve">Obstetri Fisiologis dan Asuhan Antenatal</w:t>
            </w:r>
          </w:p>
        </w:tc>
        <w:tc>
          <w:tcPr>
            <w:tcW w:type="dxa" w:w="3008"/>
            <w:shd w:fill="F5F6FA" w:val="clear"/>
            <w:tcMar>
              <w:top w:type="dxa" w:w="90"/>
              <w:left w:type="dxa" w:w="100"/>
              <w:bottom w:type="dxa" w:w="90"/>
              <w:right w:type="dxa" w:w="100"/>
            </w:tcMar>
          </w:tcPr>
          <w:p>
            <w:r>
              <w:rPr>
                <w:color w:val="161B2E"/>
                <w:sz w:val="19"/>
                <w:szCs w:val="19"/>
              </w:rPr>
              <w:t xml:space="preserve">Kehamilan normal, ANC, kehamilan remaja, kontrasepsi dasar</w:t>
            </w:r>
          </w:p>
        </w:tc>
      </w:tr>
      <w:tr>
        <w:tc>
          <w:tcPr>
            <w:tcW w:type="dxa" w:w="3008"/>
            <w:shd w:fill="FFFFFF" w:val="clear"/>
            <w:tcMar>
              <w:top w:type="dxa" w:w="90"/>
              <w:left w:type="dxa" w:w="100"/>
              <w:bottom w:type="dxa" w:w="90"/>
              <w:right w:type="dxa" w:w="100"/>
            </w:tcMar>
          </w:tcPr>
          <w:p>
            <w:r>
              <w:rPr>
                <w:color w:val="161B2E"/>
                <w:sz w:val="19"/>
                <w:szCs w:val="19"/>
              </w:rPr>
              <w:t xml:space="preserve">3</w:t>
            </w:r>
          </w:p>
        </w:tc>
        <w:tc>
          <w:tcPr>
            <w:tcW w:type="dxa" w:w="3008"/>
            <w:shd w:fill="FFFFFF" w:val="clear"/>
            <w:tcMar>
              <w:top w:type="dxa" w:w="90"/>
              <w:left w:type="dxa" w:w="100"/>
              <w:bottom w:type="dxa" w:w="90"/>
              <w:right w:type="dxa" w:w="100"/>
            </w:tcMar>
          </w:tcPr>
          <w:p>
            <w:r>
              <w:rPr>
                <w:color w:val="161B2E"/>
                <w:sz w:val="19"/>
                <w:szCs w:val="19"/>
              </w:rPr>
              <w:t xml:space="preserve">Obstetri Patologis dan Kegawatdaruratan Maternal</w:t>
            </w:r>
          </w:p>
        </w:tc>
        <w:tc>
          <w:tcPr>
            <w:tcW w:type="dxa" w:w="3008"/>
            <w:shd w:fill="FFFFFF" w:val="clear"/>
            <w:tcMar>
              <w:top w:type="dxa" w:w="90"/>
              <w:left w:type="dxa" w:w="100"/>
              <w:bottom w:type="dxa" w:w="90"/>
              <w:right w:type="dxa" w:w="100"/>
            </w:tcMar>
          </w:tcPr>
          <w:p>
            <w:r>
              <w:rPr>
                <w:color w:val="161B2E"/>
                <w:sz w:val="19"/>
                <w:szCs w:val="19"/>
              </w:rPr>
              <w:t xml:space="preserve">Preeklamsia, perdarahan, ruptur uteri, distosia, dsb.</w:t>
            </w:r>
          </w:p>
        </w:tc>
      </w:tr>
      <w:tr>
        <w:tc>
          <w:tcPr>
            <w:tcW w:type="dxa" w:w="3008"/>
            <w:shd w:fill="F5F6FA" w:val="clear"/>
            <w:tcMar>
              <w:top w:type="dxa" w:w="90"/>
              <w:left w:type="dxa" w:w="100"/>
              <w:bottom w:type="dxa" w:w="90"/>
              <w:right w:type="dxa" w:w="100"/>
            </w:tcMar>
          </w:tcPr>
          <w:p>
            <w:r>
              <w:rPr>
                <w:color w:val="161B2E"/>
                <w:sz w:val="19"/>
                <w:szCs w:val="19"/>
              </w:rPr>
              <w:t xml:space="preserve">4</w:t>
            </w:r>
          </w:p>
        </w:tc>
        <w:tc>
          <w:tcPr>
            <w:tcW w:type="dxa" w:w="3008"/>
            <w:shd w:fill="F5F6FA" w:val="clear"/>
            <w:tcMar>
              <w:top w:type="dxa" w:w="90"/>
              <w:left w:type="dxa" w:w="100"/>
              <w:bottom w:type="dxa" w:w="90"/>
              <w:right w:type="dxa" w:w="100"/>
            </w:tcMar>
          </w:tcPr>
          <w:p>
            <w:r>
              <w:rPr>
                <w:color w:val="161B2E"/>
                <w:sz w:val="19"/>
                <w:szCs w:val="19"/>
              </w:rPr>
              <w:t xml:space="preserve">Obstetri dengan Komorbiditas</w:t>
            </w:r>
          </w:p>
        </w:tc>
        <w:tc>
          <w:tcPr>
            <w:tcW w:type="dxa" w:w="3008"/>
            <w:shd w:fill="F5F6FA" w:val="clear"/>
            <w:tcMar>
              <w:top w:type="dxa" w:w="90"/>
              <w:left w:type="dxa" w:w="100"/>
              <w:bottom w:type="dxa" w:w="90"/>
              <w:right w:type="dxa" w:w="100"/>
            </w:tcMar>
          </w:tcPr>
          <w:p>
            <w:r>
              <w:rPr>
                <w:color w:val="161B2E"/>
                <w:sz w:val="19"/>
                <w:szCs w:val="19"/>
              </w:rPr>
              <w:t xml:space="preserve">Kehamilan dengan DM, HIV, anemia, infeksi sistemik</w:t>
            </w:r>
          </w:p>
        </w:tc>
      </w:tr>
      <w:tr>
        <w:tc>
          <w:tcPr>
            <w:tcW w:type="dxa" w:w="3008"/>
            <w:shd w:fill="FFFFFF" w:val="clear"/>
            <w:tcMar>
              <w:top w:type="dxa" w:w="90"/>
              <w:left w:type="dxa" w:w="100"/>
              <w:bottom w:type="dxa" w:w="90"/>
              <w:right w:type="dxa" w:w="100"/>
            </w:tcMar>
          </w:tcPr>
          <w:p>
            <w:r>
              <w:rPr>
                <w:color w:val="161B2E"/>
                <w:sz w:val="19"/>
                <w:szCs w:val="19"/>
              </w:rPr>
              <w:t xml:space="preserve">5</w:t>
            </w:r>
          </w:p>
        </w:tc>
        <w:tc>
          <w:tcPr>
            <w:tcW w:type="dxa" w:w="3008"/>
            <w:shd w:fill="FFFFFF" w:val="clear"/>
            <w:tcMar>
              <w:top w:type="dxa" w:w="90"/>
              <w:left w:type="dxa" w:w="100"/>
              <w:bottom w:type="dxa" w:w="90"/>
              <w:right w:type="dxa" w:w="100"/>
            </w:tcMar>
          </w:tcPr>
          <w:p>
            <w:r>
              <w:rPr>
                <w:color w:val="161B2E"/>
                <w:sz w:val="19"/>
                <w:szCs w:val="19"/>
              </w:rPr>
              <w:t xml:space="preserve">Persalinan, Nifas, dan Laktasi</w:t>
            </w:r>
          </w:p>
        </w:tc>
        <w:tc>
          <w:tcPr>
            <w:tcW w:type="dxa" w:w="3008"/>
            <w:shd w:fill="FFFFFF" w:val="clear"/>
            <w:tcMar>
              <w:top w:type="dxa" w:w="90"/>
              <w:left w:type="dxa" w:w="100"/>
              <w:bottom w:type="dxa" w:w="90"/>
              <w:right w:type="dxa" w:w="100"/>
            </w:tcMar>
          </w:tcPr>
          <w:p>
            <w:r>
              <w:rPr>
                <w:color w:val="161B2E"/>
                <w:sz w:val="19"/>
                <w:szCs w:val="19"/>
              </w:rPr>
              <w:t xml:space="preserve">Asuhan intrapartum dan pascasalin</w:t>
            </w:r>
          </w:p>
        </w:tc>
      </w:tr>
      <w:tr>
        <w:tc>
          <w:tcPr>
            <w:tcW w:type="dxa" w:w="3008"/>
            <w:shd w:fill="F5F6FA" w:val="clear"/>
            <w:tcMar>
              <w:top w:type="dxa" w:w="90"/>
              <w:left w:type="dxa" w:w="100"/>
              <w:bottom w:type="dxa" w:w="90"/>
              <w:right w:type="dxa" w:w="100"/>
            </w:tcMar>
          </w:tcPr>
          <w:p>
            <w:r>
              <w:rPr>
                <w:color w:val="161B2E"/>
                <w:sz w:val="19"/>
                <w:szCs w:val="19"/>
              </w:rPr>
              <w:t xml:space="preserve">6</w:t>
            </w:r>
          </w:p>
        </w:tc>
        <w:tc>
          <w:tcPr>
            <w:tcW w:type="dxa" w:w="3008"/>
            <w:shd w:fill="F5F6FA" w:val="clear"/>
            <w:tcMar>
              <w:top w:type="dxa" w:w="90"/>
              <w:left w:type="dxa" w:w="100"/>
              <w:bottom w:type="dxa" w:w="90"/>
              <w:right w:type="dxa" w:w="100"/>
            </w:tcMar>
          </w:tcPr>
          <w:p>
            <w:r>
              <w:rPr>
                <w:color w:val="161B2E"/>
                <w:sz w:val="19"/>
                <w:szCs w:val="19"/>
              </w:rPr>
              <w:t xml:space="preserve">Ginekologi Umum dan Infeksi Reproduksi</w:t>
            </w:r>
          </w:p>
        </w:tc>
        <w:tc>
          <w:tcPr>
            <w:tcW w:type="dxa" w:w="3008"/>
            <w:shd w:fill="F5F6FA" w:val="clear"/>
            <w:tcMar>
              <w:top w:type="dxa" w:w="90"/>
              <w:left w:type="dxa" w:w="100"/>
              <w:bottom w:type="dxa" w:w="90"/>
              <w:right w:type="dxa" w:w="100"/>
            </w:tcMar>
          </w:tcPr>
          <w:p>
            <w:r>
              <w:rPr>
                <w:color w:val="161B2E"/>
                <w:sz w:val="19"/>
                <w:szCs w:val="19"/>
              </w:rPr>
              <w:t xml:space="preserve">Vaginitis, servisitis, PID, IMS</w:t>
            </w:r>
          </w:p>
        </w:tc>
      </w:tr>
      <w:tr>
        <w:tc>
          <w:tcPr>
            <w:tcW w:type="dxa" w:w="3008"/>
            <w:shd w:fill="FFFFFF" w:val="clear"/>
            <w:tcMar>
              <w:top w:type="dxa" w:w="90"/>
              <w:left w:type="dxa" w:w="100"/>
              <w:bottom w:type="dxa" w:w="90"/>
              <w:right w:type="dxa" w:w="100"/>
            </w:tcMar>
          </w:tcPr>
          <w:p>
            <w:r>
              <w:rPr>
                <w:color w:val="161B2E"/>
                <w:sz w:val="19"/>
                <w:szCs w:val="19"/>
              </w:rPr>
              <w:t xml:space="preserve">7</w:t>
            </w:r>
          </w:p>
        </w:tc>
        <w:tc>
          <w:tcPr>
            <w:tcW w:type="dxa" w:w="3008"/>
            <w:shd w:fill="FFFFFF" w:val="clear"/>
            <w:tcMar>
              <w:top w:type="dxa" w:w="90"/>
              <w:left w:type="dxa" w:w="100"/>
              <w:bottom w:type="dxa" w:w="90"/>
              <w:right w:type="dxa" w:w="100"/>
            </w:tcMar>
          </w:tcPr>
          <w:p>
            <w:r>
              <w:rPr>
                <w:color w:val="161B2E"/>
                <w:sz w:val="19"/>
                <w:szCs w:val="19"/>
              </w:rPr>
              <w:t xml:space="preserve">Tumor Jinak Ginekologi dan Kelainan Uterus</w:t>
            </w:r>
          </w:p>
        </w:tc>
        <w:tc>
          <w:tcPr>
            <w:tcW w:type="dxa" w:w="3008"/>
            <w:shd w:fill="FFFFFF" w:val="clear"/>
            <w:tcMar>
              <w:top w:type="dxa" w:w="90"/>
              <w:left w:type="dxa" w:w="100"/>
              <w:bottom w:type="dxa" w:w="90"/>
              <w:right w:type="dxa" w:w="100"/>
            </w:tcMar>
          </w:tcPr>
          <w:p>
            <w:r>
              <w:rPr>
                <w:color w:val="161B2E"/>
                <w:sz w:val="19"/>
                <w:szCs w:val="19"/>
              </w:rPr>
              <w:t xml:space="preserve">Mioma, adenomiosis, polip, kista ovarium</w:t>
            </w:r>
          </w:p>
        </w:tc>
      </w:tr>
      <w:tr>
        <w:tc>
          <w:tcPr>
            <w:tcW w:type="dxa" w:w="3008"/>
            <w:shd w:fill="F5F6FA" w:val="clear"/>
            <w:tcMar>
              <w:top w:type="dxa" w:w="90"/>
              <w:left w:type="dxa" w:w="100"/>
              <w:bottom w:type="dxa" w:w="90"/>
              <w:right w:type="dxa" w:w="100"/>
            </w:tcMar>
          </w:tcPr>
          <w:p>
            <w:r>
              <w:rPr>
                <w:color w:val="161B2E"/>
                <w:sz w:val="19"/>
                <w:szCs w:val="19"/>
              </w:rPr>
              <w:t xml:space="preserve">8</w:t>
            </w:r>
          </w:p>
        </w:tc>
        <w:tc>
          <w:tcPr>
            <w:tcW w:type="dxa" w:w="3008"/>
            <w:shd w:fill="F5F6FA" w:val="clear"/>
            <w:tcMar>
              <w:top w:type="dxa" w:w="90"/>
              <w:left w:type="dxa" w:w="100"/>
              <w:bottom w:type="dxa" w:w="90"/>
              <w:right w:type="dxa" w:w="100"/>
            </w:tcMar>
          </w:tcPr>
          <w:p>
            <w:r>
              <w:rPr>
                <w:color w:val="161B2E"/>
                <w:sz w:val="19"/>
                <w:szCs w:val="19"/>
              </w:rPr>
              <w:t xml:space="preserve">Gangguan Haid, Endokrinologi, Infertilitas Dasar</w:t>
            </w:r>
          </w:p>
        </w:tc>
        <w:tc>
          <w:tcPr>
            <w:tcW w:type="dxa" w:w="3008"/>
            <w:shd w:fill="F5F6FA" w:val="clear"/>
            <w:tcMar>
              <w:top w:type="dxa" w:w="90"/>
              <w:left w:type="dxa" w:w="100"/>
              <w:bottom w:type="dxa" w:w="90"/>
              <w:right w:type="dxa" w:w="100"/>
            </w:tcMar>
          </w:tcPr>
          <w:p>
            <w:r>
              <w:rPr>
                <w:color w:val="161B2E"/>
                <w:sz w:val="19"/>
                <w:szCs w:val="19"/>
              </w:rPr>
              <w:t xml:space="preserve">Dismenore, PCOS, infertilitas usia &lt;35 tahun</w:t>
            </w:r>
          </w:p>
        </w:tc>
      </w:tr>
      <w:tr>
        <w:tc>
          <w:tcPr>
            <w:tcW w:type="dxa" w:w="3008"/>
            <w:shd w:fill="FFFFFF" w:val="clear"/>
            <w:tcMar>
              <w:top w:type="dxa" w:w="90"/>
              <w:left w:type="dxa" w:w="100"/>
              <w:bottom w:type="dxa" w:w="90"/>
              <w:right w:type="dxa" w:w="100"/>
            </w:tcMar>
          </w:tcPr>
          <w:p>
            <w:r>
              <w:rPr>
                <w:color w:val="161B2E"/>
                <w:sz w:val="19"/>
                <w:szCs w:val="19"/>
              </w:rPr>
              <w:t xml:space="preserve">9</w:t>
            </w:r>
          </w:p>
        </w:tc>
        <w:tc>
          <w:tcPr>
            <w:tcW w:type="dxa" w:w="3008"/>
            <w:shd w:fill="FFFFFF" w:val="clear"/>
            <w:tcMar>
              <w:top w:type="dxa" w:w="90"/>
              <w:left w:type="dxa" w:w="100"/>
              <w:bottom w:type="dxa" w:w="90"/>
              <w:right w:type="dxa" w:w="100"/>
            </w:tcMar>
          </w:tcPr>
          <w:p>
            <w:r>
              <w:rPr>
                <w:color w:val="161B2E"/>
                <w:sz w:val="19"/>
                <w:szCs w:val="19"/>
              </w:rPr>
              <w:t xml:space="preserve">Menopause, Uroginekologi Dasar, dan Prolaps</w:t>
            </w:r>
          </w:p>
        </w:tc>
        <w:tc>
          <w:tcPr>
            <w:tcW w:type="dxa" w:w="3008"/>
            <w:shd w:fill="FFFFFF" w:val="clear"/>
            <w:tcMar>
              <w:top w:type="dxa" w:w="90"/>
              <w:left w:type="dxa" w:w="100"/>
              <w:bottom w:type="dxa" w:w="90"/>
              <w:right w:type="dxa" w:w="100"/>
            </w:tcMar>
          </w:tcPr>
          <w:p>
            <w:r>
              <w:rPr>
                <w:color w:val="161B2E"/>
                <w:sz w:val="19"/>
                <w:szCs w:val="19"/>
              </w:rPr>
              <w:t xml:space="preserve">Kandung kemih overaktif, prolaps ringan</w:t>
            </w:r>
          </w:p>
        </w:tc>
      </w:tr>
      <w:tr>
        <w:tc>
          <w:tcPr>
            <w:tcW w:type="dxa" w:w="3008"/>
            <w:shd w:fill="F5F6FA" w:val="clear"/>
            <w:tcMar>
              <w:top w:type="dxa" w:w="90"/>
              <w:left w:type="dxa" w:w="100"/>
              <w:bottom w:type="dxa" w:w="90"/>
              <w:right w:type="dxa" w:w="100"/>
            </w:tcMar>
          </w:tcPr>
          <w:p>
            <w:r>
              <w:rPr>
                <w:color w:val="161B2E"/>
                <w:sz w:val="19"/>
                <w:szCs w:val="19"/>
              </w:rPr>
              <w:t xml:space="preserve">10</w:t>
            </w:r>
          </w:p>
        </w:tc>
        <w:tc>
          <w:tcPr>
            <w:tcW w:type="dxa" w:w="3008"/>
            <w:shd w:fill="F5F6FA" w:val="clear"/>
            <w:tcMar>
              <w:top w:type="dxa" w:w="90"/>
              <w:left w:type="dxa" w:w="100"/>
              <w:bottom w:type="dxa" w:w="90"/>
              <w:right w:type="dxa" w:w="100"/>
            </w:tcMar>
          </w:tcPr>
          <w:p>
            <w:r>
              <w:rPr>
                <w:color w:val="161B2E"/>
                <w:sz w:val="19"/>
                <w:szCs w:val="19"/>
              </w:rPr>
              <w:t xml:space="preserve">Deteksi Dini Onkologi Ginekologi Dasar</w:t>
            </w:r>
          </w:p>
        </w:tc>
        <w:tc>
          <w:tcPr>
            <w:tcW w:type="dxa" w:w="3008"/>
            <w:shd w:fill="F5F6FA" w:val="clear"/>
            <w:tcMar>
              <w:top w:type="dxa" w:w="90"/>
              <w:left w:type="dxa" w:w="100"/>
              <w:bottom w:type="dxa" w:w="90"/>
              <w:right w:type="dxa" w:w="100"/>
            </w:tcMar>
          </w:tcPr>
          <w:p>
            <w:r>
              <w:rPr>
                <w:color w:val="161B2E"/>
                <w:sz w:val="19"/>
                <w:szCs w:val="19"/>
              </w:rPr>
              <w:t xml:space="preserve">Lesi prakanker serviks, GTN risiko rendah</w:t>
            </w:r>
          </w:p>
        </w:tc>
      </w:tr>
      <w:tr>
        <w:tc>
          <w:tcPr>
            <w:tcW w:type="dxa" w:w="3008"/>
            <w:shd w:fill="FFFFFF" w:val="clear"/>
            <w:tcMar>
              <w:top w:type="dxa" w:w="90"/>
              <w:left w:type="dxa" w:w="100"/>
              <w:bottom w:type="dxa" w:w="90"/>
              <w:right w:type="dxa" w:w="100"/>
            </w:tcMar>
          </w:tcPr>
          <w:p>
            <w:r>
              <w:rPr>
                <w:color w:val="161B2E"/>
                <w:sz w:val="19"/>
                <w:szCs w:val="19"/>
              </w:rPr>
              <w:t xml:space="preserve">11</w:t>
            </w:r>
          </w:p>
        </w:tc>
        <w:tc>
          <w:tcPr>
            <w:tcW w:type="dxa" w:w="3008"/>
            <w:shd w:fill="FFFFFF" w:val="clear"/>
            <w:tcMar>
              <w:top w:type="dxa" w:w="90"/>
              <w:left w:type="dxa" w:w="100"/>
              <w:bottom w:type="dxa" w:w="90"/>
              <w:right w:type="dxa" w:w="100"/>
            </w:tcMar>
          </w:tcPr>
          <w:p>
            <w:r>
              <w:rPr>
                <w:color w:val="161B2E"/>
                <w:sz w:val="19"/>
                <w:szCs w:val="19"/>
              </w:rPr>
              <w:t xml:space="preserve">Kedokteran Sosial, Mediko-Legal, KB, dan Remaja</w:t>
            </w:r>
          </w:p>
        </w:tc>
        <w:tc>
          <w:tcPr>
            <w:tcW w:type="dxa" w:w="3008"/>
            <w:shd w:fill="FFFFFF" w:val="clear"/>
            <w:tcMar>
              <w:top w:type="dxa" w:w="90"/>
              <w:left w:type="dxa" w:w="100"/>
              <w:bottom w:type="dxa" w:w="90"/>
              <w:right w:type="dxa" w:w="100"/>
            </w:tcMar>
          </w:tcPr>
          <w:p>
            <w:r>
              <w:rPr>
                <w:color w:val="161B2E"/>
                <w:sz w:val="19"/>
                <w:szCs w:val="19"/>
              </w:rPr>
              <w:t xml:space="preserve">Aspek biopsikososial dan hukum praktik Obgin</w:t>
            </w:r>
          </w:p>
        </w:tc>
      </w:tr>
      <w:tr>
        <w:tc>
          <w:tcPr>
            <w:tcW w:type="dxa" w:w="3008"/>
            <w:shd w:fill="F5F6FA" w:val="clear"/>
            <w:tcMar>
              <w:top w:type="dxa" w:w="90"/>
              <w:left w:type="dxa" w:w="100"/>
              <w:bottom w:type="dxa" w:w="90"/>
              <w:right w:type="dxa" w:w="100"/>
            </w:tcMar>
          </w:tcPr>
          <w:p>
            <w:r>
              <w:rPr>
                <w:color w:val="161B2E"/>
                <w:sz w:val="19"/>
                <w:szCs w:val="19"/>
              </w:rPr>
              <w:t xml:space="preserve">12</w:t>
            </w:r>
          </w:p>
        </w:tc>
        <w:tc>
          <w:tcPr>
            <w:tcW w:type="dxa" w:w="3008"/>
            <w:shd w:fill="F5F6FA" w:val="clear"/>
            <w:tcMar>
              <w:top w:type="dxa" w:w="90"/>
              <w:left w:type="dxa" w:w="100"/>
              <w:bottom w:type="dxa" w:w="90"/>
              <w:right w:type="dxa" w:w="100"/>
            </w:tcMar>
          </w:tcPr>
          <w:p>
            <w:r>
              <w:rPr>
                <w:color w:val="161B2E"/>
                <w:sz w:val="19"/>
                <w:szCs w:val="19"/>
              </w:rPr>
              <w:t xml:space="preserve">Keterampilan Prosedural Spesialis Obgin</w:t>
            </w:r>
          </w:p>
        </w:tc>
        <w:tc>
          <w:tcPr>
            <w:tcW w:type="dxa" w:w="3008"/>
            <w:shd w:fill="F5F6FA" w:val="clear"/>
            <w:tcMar>
              <w:top w:type="dxa" w:w="90"/>
              <w:left w:type="dxa" w:w="100"/>
              <w:bottom w:type="dxa" w:w="90"/>
              <w:right w:type="dxa" w:w="100"/>
            </w:tcMar>
          </w:tcPr>
          <w:p>
            <w:r>
              <w:rPr>
                <w:color w:val="161B2E"/>
                <w:sz w:val="19"/>
                <w:szCs w:val="19"/>
              </w:rPr>
              <w:t xml:space="preserve">Prosedur operatif dan non-operatif</w:t>
            </w:r>
          </w:p>
        </w:tc>
      </w:tr>
      <w:tr>
        <w:tc>
          <w:tcPr>
            <w:tcW w:type="dxa" w:w="3008"/>
            <w:shd w:fill="FFFFFF" w:val="clear"/>
            <w:tcMar>
              <w:top w:type="dxa" w:w="90"/>
              <w:left w:type="dxa" w:w="100"/>
              <w:bottom w:type="dxa" w:w="90"/>
              <w:right w:type="dxa" w:w="100"/>
            </w:tcMar>
          </w:tcPr>
          <w:p>
            <w:r>
              <w:rPr>
                <w:color w:val="161B2E"/>
                <w:sz w:val="19"/>
                <w:szCs w:val="19"/>
              </w:rPr>
              <w:t xml:space="preserve">13</w:t>
            </w:r>
          </w:p>
        </w:tc>
        <w:tc>
          <w:tcPr>
            <w:tcW w:type="dxa" w:w="3008"/>
            <w:shd w:fill="FFFFFF" w:val="clear"/>
            <w:tcMar>
              <w:top w:type="dxa" w:w="90"/>
              <w:left w:type="dxa" w:w="100"/>
              <w:bottom w:type="dxa" w:w="90"/>
              <w:right w:type="dxa" w:w="100"/>
            </w:tcMar>
          </w:tcPr>
          <w:p>
            <w:r>
              <w:rPr>
                <w:color w:val="161B2E"/>
                <w:sz w:val="19"/>
                <w:szCs w:val="19"/>
              </w:rPr>
              <w:t xml:space="preserve">Penguasaan Ilmu Dasar dan Farmakologi Obgin</w:t>
            </w:r>
          </w:p>
        </w:tc>
        <w:tc>
          <w:tcPr>
            <w:tcW w:type="dxa" w:w="3008"/>
            <w:shd w:fill="FFFFFF" w:val="clear"/>
            <w:tcMar>
              <w:top w:type="dxa" w:w="90"/>
              <w:left w:type="dxa" w:w="100"/>
              <w:bottom w:type="dxa" w:w="90"/>
              <w:right w:type="dxa" w:w="100"/>
            </w:tcMar>
          </w:tcPr>
          <w:p>
            <w:r>
              <w:rPr>
                <w:color w:val="161B2E"/>
                <w:sz w:val="19"/>
                <w:szCs w:val="19"/>
              </w:rPr>
              <w:t xml:space="preserve">Ilmu penunjang praktik klinis</w:t>
            </w:r>
          </w:p>
        </w:tc>
      </w:tr>
      <w:tr>
        <w:tc>
          <w:tcPr>
            <w:tcW w:type="dxa" w:w="3008"/>
            <w:shd w:fill="F5F6FA" w:val="clear"/>
            <w:tcMar>
              <w:top w:type="dxa" w:w="90"/>
              <w:left w:type="dxa" w:w="100"/>
              <w:bottom w:type="dxa" w:w="90"/>
              <w:right w:type="dxa" w:w="100"/>
            </w:tcMar>
          </w:tcPr>
          <w:p>
            <w:r>
              <w:rPr>
                <w:color w:val="161B2E"/>
                <w:sz w:val="19"/>
                <w:szCs w:val="19"/>
              </w:rPr>
              <w:t xml:space="preserve">14</w:t>
            </w:r>
          </w:p>
        </w:tc>
        <w:tc>
          <w:tcPr>
            <w:tcW w:type="dxa" w:w="3008"/>
            <w:shd w:fill="F5F6FA" w:val="clear"/>
            <w:tcMar>
              <w:top w:type="dxa" w:w="90"/>
              <w:left w:type="dxa" w:w="100"/>
              <w:bottom w:type="dxa" w:w="90"/>
              <w:right w:type="dxa" w:w="100"/>
            </w:tcMar>
          </w:tcPr>
          <w:p>
            <w:r>
              <w:rPr>
                <w:color w:val="161B2E"/>
                <w:sz w:val="19"/>
                <w:szCs w:val="19"/>
              </w:rPr>
              <w:t xml:space="preserve">Interpersonal, Profesionalisme, Sistem, dan Biaya</w:t>
            </w:r>
          </w:p>
        </w:tc>
        <w:tc>
          <w:tcPr>
            <w:tcW w:type="dxa" w:w="3008"/>
            <w:shd w:fill="F5F6FA" w:val="clear"/>
            <w:tcMar>
              <w:top w:type="dxa" w:w="90"/>
              <w:left w:type="dxa" w:w="100"/>
              <w:bottom w:type="dxa" w:w="90"/>
              <w:right w:type="dxa" w:w="100"/>
            </w:tcMar>
          </w:tcPr>
          <w:p>
            <w:r>
              <w:rPr>
                <w:color w:val="161B2E"/>
                <w:sz w:val="19"/>
                <w:szCs w:val="19"/>
              </w:rPr>
              <w:t xml:space="preserve">Area Kompetensi 4–7</w:t>
            </w:r>
          </w:p>
        </w:tc>
      </w:tr>
    </w:tbl>
    <w:p>
      <w:pPr>
        <w:spacing w:after="160"/>
      </w:pPr>
    </w:p>
    <w:p>
      <w:pPr>
        <w:pStyle w:val="Heading1"/>
        <w:pBdr>
          <w:bottom w:val="single" w:color="A9812F" w:sz="6" w:space="4"/>
        </w:pBdr>
        <w:spacing w:after="200" w:before="400"/>
      </w:pPr>
      <w:r>
        <w:t xml:space="preserve">BAB V — PRINSIP PEMBELAJARAN BERTAHAP</w:t>
      </w:r>
    </w:p>
    <w:p>
      <w:pPr>
        <w:spacing w:after="160" w:line="300"/>
        <w:jc w:val="both"/>
      </w:pPr>
      <w:r>
        <w:rPr>
          <w:color w:val="161B2E"/>
          <w:sz w:val="22"/>
          <w:szCs w:val="22"/>
        </w:rPr>
        <w:t xml:space="preserve">Kompetensi dalam seri buku ini disusun dengan prinsip peningkatan bertahap: kasus sedang dengan presentasi khas dan risiko rendah-sedang menjadi fondasi pembelajaran tahun-tahun awal; kasus kompleks dengan komorbiditas atau presentasi tidak khas menjadi fokus tahun menengah; dan kemampuan menangani kasus kompleks secara mandiri, termasuk pengenalan kapan harus merujuk ke Dokter Subspesialis, menjadi penekanan tahap akhir pendidikan. Pemetaan rinci tingkat supervisi per tahun pendidikan terhadap setiap kelompok kompetensi diatur dalam Dokumen 4 — Matriks Kewenangan Klinis Bertingkat (Klaster RS), yang menjadi pasangan operasional dari seri buku ini.</w:t>
      </w:r>
    </w:p>
    <w:p>
      <w:pPr>
        <w:pStyle w:val="Heading1"/>
        <w:pBdr>
          <w:bottom w:val="single" w:color="A9812F" w:sz="6" w:space="4"/>
        </w:pBdr>
        <w:spacing w:after="200" w:before="400"/>
      </w:pPr>
      <w:r>
        <w:t xml:space="preserve">BAB VI — PENUTUP</w:t>
      </w:r>
    </w:p>
    <w:p>
      <w:pPr>
        <w:spacing w:after="160" w:line="300"/>
        <w:jc w:val="both"/>
      </w:pPr>
      <w:r>
        <w:rPr>
          <w:color w:val="161B2E"/>
          <w:sz w:val="22"/>
          <w:szCs w:val="22"/>
        </w:rPr>
        <w:t xml:space="preserve">Peserta didik disarankan mempelajari buku-buku dalam seri ini secara berurutan, dimulai dari Buku 1 (Keselamatan Pasien), dilanjutkan Buku 2 hingga Buku 11 (spektrum penyakit, disusun dari fisiologis menuju kompleks), kemudian Buku 12 dan 13 (prosedur dan ilmu dasar), dan diakhiri Buku 14 (kompetensi lintas-bidang). Urutan ini selaras dengan struktur kenaikan kewenangan klinis bertingkat pada Klaster RS.</w:t>
      </w:r>
    </w:p>
    <w:sectPr>
      <w:headerReference w:type="default" r:id="rId7"/>
      <w:footerReference w:type="default" r:id="rId8"/>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5B6478"/>
        <w:sz w:val="15"/>
        <w:szCs w:val="15"/>
      </w:rPr>
      <w:t xml:space="preserve">Halaman </w:t>
    </w:r>
    <w:r>
      <w:rPr>
        <w:color w:val="5B6478"/>
        <w:sz w:val="15"/>
        <w:szCs w:val="15"/>
      </w:rPr>
      <w:fldChar w:fldCharType="begin"/>
      <w:instrText xml:space="preserve">PAGE</w:instrText>
      <w:fldChar w:fldCharType="separate"/>
      <w:fldChar w:fldCharType="end"/>
    </w:r>
    <w:r>
      <w:rPr>
        <w:color w:val="5B6478"/>
        <w:sz w:val="15"/>
        <w:szCs w:val="15"/>
      </w:rPr>
      <w:t xml:space="preserve"> dari </w:t>
    </w:r>
    <w:r>
      <w:rPr>
        <w:color w:val="5B6478"/>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5B6478"/>
        <w:sz w:val="15"/>
        <w:szCs w:val="15"/>
      </w:rPr>
      <w:t xml:space="preserve">Perpustakaan Digital ABBA · Buku 0 dari 15 — Seri Buku Ajar Inti Kompetensi Dokter Spesialis Obstetri dan Ginekologi (SpOG)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20" w:hanging="260"/>
      </w:pPr>
    </w:lvl>
  </w:abstractNum>
  <w:abstractNum w:abstractNumId="3" w15:restartNumberingAfterBreak="0">
    <w:multiLevelType w:val="hybridMultilevel"/>
    <w:lvl w:ilvl="0" w15:tentative="1">
      <w:start w:val="1"/>
      <w:numFmt w:val="decimal"/>
      <w:lvlText w:val="%1."/>
      <w:lvlJc w:val="left"/>
      <w:pPr>
        <w:ind w:left="52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61B2E"/>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Cambria" w:cs="Cambria" w:eastAsia="Cambria" w:hAnsi="Cambria"/>
      <w:b/>
      <w:bCs/>
      <w:color w:val="1C2749"/>
      <w:sz w:val="30"/>
      <w:szCs w:val="30"/>
    </w:rPr>
  </w:style>
  <w:style w:type="paragraph" w:styleId="Heading2">
    <w:name w:val="Heading 2"/>
    <w:basedOn w:val="Normal"/>
    <w:next w:val="Normal"/>
    <w:qFormat/>
    <w:rPr>
      <w:rFonts w:ascii="Cambria" w:cs="Cambria" w:eastAsia="Cambria" w:hAnsi="Cambria"/>
      <w:b/>
      <w:bCs/>
      <w:color w:val="2C3A64"/>
      <w:sz w:val="25"/>
      <w:szCs w:val="25"/>
    </w:rPr>
  </w:style>
  <w:style w:type="paragraph" w:styleId="Heading3">
    <w:name w:val="Heading 3"/>
    <w:basedOn w:val="Normal"/>
    <w:next w:val="Normal"/>
    <w:qFormat/>
    <w:rPr>
      <w:rFonts w:ascii="Cambria" w:cs="Cambria" w:eastAsia="Cambria" w:hAnsi="Cambria"/>
      <w:b/>
      <w:bCs/>
      <w:color w:val="A9812F"/>
      <w:sz w:val="23"/>
      <w:szCs w:val="23"/>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2026-07-13T07:48:41.678Z</dcterms:created>
  <dcterms:modified xsi:type="dcterms:W3CDTF">2026-07-13T07:48:41.678Z</dcterms:modified>
</cp:coreProperties>
</file>

<file path=docProps/custom.xml><?xml version="1.0" encoding="utf-8"?>
<Properties xmlns="http://schemas.openxmlformats.org/officeDocument/2006/custom-properties" xmlns:vt="http://schemas.openxmlformats.org/officeDocument/2006/docPropsVTypes"/>
</file>