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3 DARI 15 — SERI BUKU AJAR INTI KOMPETENSI DOKTER SPESIALIS OBSTETRI DAN GINEKOLOGI (SPOG)</w:t>
      </w:r>
    </w:p>
    <w:p>
      <w:pPr>
        <w:spacing w:after="500"/>
        <w:jc w:val="center"/>
      </w:pPr>
      <w:r>
        <w:rPr>
          <w:b/>
          <w:bCs/>
          <w:color w:val="1C2749"/>
          <w:sz w:val="40"/>
          <w:szCs w:val="40"/>
        </w:rPr>
        <w:t xml:space="preserve">Obstetri Patologis dan Kegawatdaruratan Maternal</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kelompok kondisi obstetri patologis dan kegawatdaruratan maternal yang menuntut pengenalan cepat, pengambilan keputusan tepat waktu, dan tindakan penyelamatan jiwa. Kompetensi pada buku ini merupakan inti dari keahlian Dokter Spesialis Obstetri dan Ginekologi yang membedakannya dari dokter umum, karena keterlambatan atau kesalahan penanganan pada kelompok kondisi ini berkontribusi besar terhadap mortalitas dan morbiditas maternal.</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3</w:t>
            </w:r>
          </w:p>
        </w:tc>
        <w:tc>
          <w:tcPr>
            <w:tcW w:type="dxa" w:w="2256"/>
            <w:shd w:fill="F5F6FA" w:val="clear"/>
            <w:tcMar>
              <w:top w:type="dxa" w:w="90"/>
              <w:left w:type="dxa" w:w="100"/>
              <w:bottom w:type="dxa" w:w="90"/>
              <w:right w:type="dxa" w:w="100"/>
            </w:tcMar>
          </w:tcPr>
          <w:p>
            <w:r>
              <w:rPr>
                <w:color w:val="161B2E"/>
                <w:sz w:val="19"/>
                <w:szCs w:val="19"/>
              </w:rPr>
              <w:t xml:space="preserve">Keguguran (ancaman, inkomplet, berlangsung)</w:t>
            </w:r>
          </w:p>
        </w:tc>
        <w:tc>
          <w:tcPr>
            <w:tcW w:type="dxa" w:w="2256"/>
            <w:shd w:fill="F5F6FA" w:val="clear"/>
            <w:tcMar>
              <w:top w:type="dxa" w:w="90"/>
              <w:left w:type="dxa" w:w="100"/>
              <w:bottom w:type="dxa" w:w="90"/>
              <w:right w:type="dxa" w:w="100"/>
            </w:tcMar>
          </w:tcPr>
          <w:p>
            <w:r>
              <w:rPr>
                <w:color w:val="161B2E"/>
                <w:sz w:val="19"/>
                <w:szCs w:val="19"/>
              </w:rPr>
              <w:t xml:space="preserve">O20.0 dkk.</w:t>
            </w:r>
          </w:p>
        </w:tc>
        <w:tc>
          <w:tcPr>
            <w:tcW w:type="dxa" w:w="2256"/>
            <w:shd w:fill="F5F6FA" w:val="clear"/>
            <w:tcMar>
              <w:top w:type="dxa" w:w="90"/>
              <w:left w:type="dxa" w:w="100"/>
              <w:bottom w:type="dxa" w:w="90"/>
              <w:right w:type="dxa" w:w="100"/>
            </w:tcMar>
          </w:tcPr>
          <w:p>
            <w:r>
              <w:rPr>
                <w:color w:val="161B2E"/>
                <w:sz w:val="19"/>
                <w:szCs w:val="19"/>
              </w:rPr>
              <w:t xml:space="preserve">Komplikasi trimester awal pada usia reproduksi.</w:t>
            </w:r>
          </w:p>
        </w:tc>
      </w:tr>
      <w:tr>
        <w:tc>
          <w:tcPr>
            <w:tcW w:type="dxa" w:w="2256"/>
            <w:shd w:fill="FFFFFF" w:val="clear"/>
            <w:tcMar>
              <w:top w:type="dxa" w:w="90"/>
              <w:left w:type="dxa" w:w="100"/>
              <w:bottom w:type="dxa" w:w="90"/>
              <w:right w:type="dxa" w:w="100"/>
            </w:tcMar>
          </w:tcPr>
          <w:p>
            <w:r>
              <w:rPr>
                <w:color w:val="161B2E"/>
                <w:sz w:val="19"/>
                <w:szCs w:val="19"/>
              </w:rPr>
              <w:t xml:space="preserve">4</w:t>
            </w:r>
          </w:p>
        </w:tc>
        <w:tc>
          <w:tcPr>
            <w:tcW w:type="dxa" w:w="2256"/>
            <w:shd w:fill="FFFFFF" w:val="clear"/>
            <w:tcMar>
              <w:top w:type="dxa" w:w="90"/>
              <w:left w:type="dxa" w:w="100"/>
              <w:bottom w:type="dxa" w:w="90"/>
              <w:right w:type="dxa" w:w="100"/>
            </w:tcMar>
          </w:tcPr>
          <w:p>
            <w:r>
              <w:rPr>
                <w:color w:val="161B2E"/>
                <w:sz w:val="19"/>
                <w:szCs w:val="19"/>
              </w:rPr>
              <w:t xml:space="preserve">Mola hidatidosa tanpa penyulit</w:t>
            </w:r>
          </w:p>
        </w:tc>
        <w:tc>
          <w:tcPr>
            <w:tcW w:type="dxa" w:w="2256"/>
            <w:shd w:fill="FFFFFF" w:val="clear"/>
            <w:tcMar>
              <w:top w:type="dxa" w:w="90"/>
              <w:left w:type="dxa" w:w="100"/>
              <w:bottom w:type="dxa" w:w="90"/>
              <w:right w:type="dxa" w:w="100"/>
            </w:tcMar>
          </w:tcPr>
          <w:p>
            <w:r>
              <w:rPr>
                <w:color w:val="161B2E"/>
                <w:sz w:val="19"/>
                <w:szCs w:val="19"/>
              </w:rPr>
              <w:t xml:space="preserve">O01.9</w:t>
            </w:r>
          </w:p>
        </w:tc>
        <w:tc>
          <w:tcPr>
            <w:tcW w:type="dxa" w:w="2256"/>
            <w:shd w:fill="FFFFFF" w:val="clear"/>
            <w:tcMar>
              <w:top w:type="dxa" w:w="90"/>
              <w:left w:type="dxa" w:w="100"/>
              <w:bottom w:type="dxa" w:w="90"/>
              <w:right w:type="dxa" w:w="100"/>
            </w:tcMar>
          </w:tcPr>
          <w:p>
            <w:r>
              <w:rPr>
                <w:color w:val="161B2E"/>
                <w:sz w:val="19"/>
                <w:szCs w:val="19"/>
              </w:rPr>
              <w:t xml:space="preserve">Penyakit trofoblas gestasional.</w:t>
            </w:r>
          </w:p>
        </w:tc>
      </w:tr>
      <w:tr>
        <w:tc>
          <w:tcPr>
            <w:tcW w:type="dxa" w:w="2256"/>
            <w:shd w:fill="F5F6FA" w:val="clear"/>
            <w:tcMar>
              <w:top w:type="dxa" w:w="90"/>
              <w:left w:type="dxa" w:w="100"/>
              <w:bottom w:type="dxa" w:w="90"/>
              <w:right w:type="dxa" w:w="100"/>
            </w:tcMar>
          </w:tcPr>
          <w:p>
            <w:r>
              <w:rPr>
                <w:color w:val="161B2E"/>
                <w:sz w:val="19"/>
                <w:szCs w:val="19"/>
              </w:rPr>
              <w:t xml:space="preserve">5</w:t>
            </w:r>
          </w:p>
        </w:tc>
        <w:tc>
          <w:tcPr>
            <w:tcW w:type="dxa" w:w="2256"/>
            <w:shd w:fill="F5F6FA" w:val="clear"/>
            <w:tcMar>
              <w:top w:type="dxa" w:w="90"/>
              <w:left w:type="dxa" w:w="100"/>
              <w:bottom w:type="dxa" w:w="90"/>
              <w:right w:type="dxa" w:w="100"/>
            </w:tcMar>
          </w:tcPr>
          <w:p>
            <w:r>
              <w:rPr>
                <w:color w:val="161B2E"/>
                <w:sz w:val="19"/>
                <w:szCs w:val="19"/>
              </w:rPr>
              <w:t xml:space="preserve">Kehamilan ektopik</w:t>
            </w:r>
          </w:p>
        </w:tc>
        <w:tc>
          <w:tcPr>
            <w:tcW w:type="dxa" w:w="2256"/>
            <w:shd w:fill="F5F6FA" w:val="clear"/>
            <w:tcMar>
              <w:top w:type="dxa" w:w="90"/>
              <w:left w:type="dxa" w:w="100"/>
              <w:bottom w:type="dxa" w:w="90"/>
              <w:right w:type="dxa" w:w="100"/>
            </w:tcMar>
          </w:tcPr>
          <w:p>
            <w:r>
              <w:rPr>
                <w:color w:val="161B2E"/>
                <w:sz w:val="19"/>
                <w:szCs w:val="19"/>
              </w:rPr>
              <w:t xml:space="preserve">O00.9</w:t>
            </w:r>
          </w:p>
        </w:tc>
        <w:tc>
          <w:tcPr>
            <w:tcW w:type="dxa" w:w="2256"/>
            <w:shd w:fill="F5F6FA" w:val="clear"/>
            <w:tcMar>
              <w:top w:type="dxa" w:w="90"/>
              <w:left w:type="dxa" w:w="100"/>
              <w:bottom w:type="dxa" w:w="90"/>
              <w:right w:type="dxa" w:w="100"/>
            </w:tcMar>
          </w:tcPr>
          <w:p>
            <w:r>
              <w:rPr>
                <w:color w:val="161B2E"/>
                <w:sz w:val="19"/>
                <w:szCs w:val="19"/>
              </w:rPr>
              <w:t xml:space="preserve">Kehamilan abnormal dengan risiko perdarahan mengancam jiwa.</w:t>
            </w:r>
          </w:p>
        </w:tc>
      </w:tr>
      <w:tr>
        <w:tc>
          <w:tcPr>
            <w:tcW w:type="dxa" w:w="2256"/>
            <w:shd w:fill="FFFFFF" w:val="clear"/>
            <w:tcMar>
              <w:top w:type="dxa" w:w="90"/>
              <w:left w:type="dxa" w:w="100"/>
              <w:bottom w:type="dxa" w:w="90"/>
              <w:right w:type="dxa" w:w="100"/>
            </w:tcMar>
          </w:tcPr>
          <w:p>
            <w:r>
              <w:rPr>
                <w:color w:val="161B2E"/>
                <w:sz w:val="19"/>
                <w:szCs w:val="19"/>
              </w:rPr>
              <w:t xml:space="preserve">6</w:t>
            </w:r>
          </w:p>
        </w:tc>
        <w:tc>
          <w:tcPr>
            <w:tcW w:type="dxa" w:w="2256"/>
            <w:shd w:fill="FFFFFF" w:val="clear"/>
            <w:tcMar>
              <w:top w:type="dxa" w:w="90"/>
              <w:left w:type="dxa" w:w="100"/>
              <w:bottom w:type="dxa" w:w="90"/>
              <w:right w:type="dxa" w:w="100"/>
            </w:tcMar>
          </w:tcPr>
          <w:p>
            <w:r>
              <w:rPr>
                <w:color w:val="161B2E"/>
                <w:sz w:val="19"/>
                <w:szCs w:val="19"/>
              </w:rPr>
              <w:t xml:space="preserve">Hiperemesis gravidarum</w:t>
            </w:r>
          </w:p>
        </w:tc>
        <w:tc>
          <w:tcPr>
            <w:tcW w:type="dxa" w:w="2256"/>
            <w:shd w:fill="FFFFFF" w:val="clear"/>
            <w:tcMar>
              <w:top w:type="dxa" w:w="90"/>
              <w:left w:type="dxa" w:w="100"/>
              <w:bottom w:type="dxa" w:w="90"/>
              <w:right w:type="dxa" w:w="100"/>
            </w:tcMar>
          </w:tcPr>
          <w:p>
            <w:r>
              <w:rPr>
                <w:color w:val="161B2E"/>
                <w:sz w:val="19"/>
                <w:szCs w:val="19"/>
              </w:rPr>
              <w:t xml:space="preserve">O21.0–O21.1</w:t>
            </w:r>
          </w:p>
        </w:tc>
        <w:tc>
          <w:tcPr>
            <w:tcW w:type="dxa" w:w="2256"/>
            <w:shd w:fill="FFFFFF" w:val="clear"/>
            <w:tcMar>
              <w:top w:type="dxa" w:w="90"/>
              <w:left w:type="dxa" w:w="100"/>
              <w:bottom w:type="dxa" w:w="90"/>
              <w:right w:type="dxa" w:w="100"/>
            </w:tcMar>
          </w:tcPr>
          <w:p>
            <w:r>
              <w:rPr>
                <w:color w:val="161B2E"/>
                <w:sz w:val="19"/>
                <w:szCs w:val="19"/>
              </w:rPr>
              <w:t xml:space="preserve">Mual-muntah berat pada awal kehamilan.</w:t>
            </w:r>
          </w:p>
        </w:tc>
      </w:tr>
      <w:tr>
        <w:tc>
          <w:tcPr>
            <w:tcW w:type="dxa" w:w="2256"/>
            <w:shd w:fill="F5F6FA" w:val="clear"/>
            <w:tcMar>
              <w:top w:type="dxa" w:w="90"/>
              <w:left w:type="dxa" w:w="100"/>
              <w:bottom w:type="dxa" w:w="90"/>
              <w:right w:type="dxa" w:w="100"/>
            </w:tcMar>
          </w:tcPr>
          <w:p>
            <w:r>
              <w:rPr>
                <w:color w:val="161B2E"/>
                <w:sz w:val="19"/>
                <w:szCs w:val="19"/>
              </w:rPr>
              <w:t xml:space="preserve">7</w:t>
            </w:r>
          </w:p>
        </w:tc>
        <w:tc>
          <w:tcPr>
            <w:tcW w:type="dxa" w:w="2256"/>
            <w:shd w:fill="F5F6FA" w:val="clear"/>
            <w:tcMar>
              <w:top w:type="dxa" w:w="90"/>
              <w:left w:type="dxa" w:w="100"/>
              <w:bottom w:type="dxa" w:w="90"/>
              <w:right w:type="dxa" w:w="100"/>
            </w:tcMar>
          </w:tcPr>
          <w:p>
            <w:r>
              <w:rPr>
                <w:color w:val="161B2E"/>
                <w:sz w:val="19"/>
                <w:szCs w:val="19"/>
              </w:rPr>
              <w:t xml:space="preserve">Hipertensi dalam kehamilan</w:t>
            </w:r>
          </w:p>
        </w:tc>
        <w:tc>
          <w:tcPr>
            <w:tcW w:type="dxa" w:w="2256"/>
            <w:shd w:fill="F5F6FA" w:val="clear"/>
            <w:tcMar>
              <w:top w:type="dxa" w:w="90"/>
              <w:left w:type="dxa" w:w="100"/>
              <w:bottom w:type="dxa" w:w="90"/>
              <w:right w:type="dxa" w:w="100"/>
            </w:tcMar>
          </w:tcPr>
          <w:p>
            <w:r>
              <w:rPr>
                <w:color w:val="161B2E"/>
                <w:sz w:val="19"/>
                <w:szCs w:val="19"/>
              </w:rPr>
              <w:t xml:space="preserve">O13</w:t>
            </w:r>
          </w:p>
        </w:tc>
        <w:tc>
          <w:tcPr>
            <w:tcW w:type="dxa" w:w="2256"/>
            <w:shd w:fill="F5F6FA" w:val="clear"/>
            <w:tcMar>
              <w:top w:type="dxa" w:w="90"/>
              <w:left w:type="dxa" w:w="100"/>
              <w:bottom w:type="dxa" w:w="90"/>
              <w:right w:type="dxa" w:w="100"/>
            </w:tcMar>
          </w:tcPr>
          <w:p>
            <w:r>
              <w:rPr>
                <w:color w:val="161B2E"/>
                <w:sz w:val="19"/>
                <w:szCs w:val="19"/>
              </w:rPr>
              <w:t xml:space="preserve">Hipertensi gestasional, umumnya trimester 2–3.</w:t>
            </w:r>
          </w:p>
        </w:tc>
      </w:tr>
      <w:tr>
        <w:tc>
          <w:tcPr>
            <w:tcW w:type="dxa" w:w="2256"/>
            <w:shd w:fill="FFFFFF" w:val="clear"/>
            <w:tcMar>
              <w:top w:type="dxa" w:w="90"/>
              <w:left w:type="dxa" w:w="100"/>
              <w:bottom w:type="dxa" w:w="90"/>
              <w:right w:type="dxa" w:w="100"/>
            </w:tcMar>
          </w:tcPr>
          <w:p>
            <w:r>
              <w:rPr>
                <w:color w:val="161B2E"/>
                <w:sz w:val="19"/>
                <w:szCs w:val="19"/>
              </w:rPr>
              <w:t xml:space="preserve">8</w:t>
            </w:r>
          </w:p>
        </w:tc>
        <w:tc>
          <w:tcPr>
            <w:tcW w:type="dxa" w:w="2256"/>
            <w:shd w:fill="FFFFFF" w:val="clear"/>
            <w:tcMar>
              <w:top w:type="dxa" w:w="90"/>
              <w:left w:type="dxa" w:w="100"/>
              <w:bottom w:type="dxa" w:w="90"/>
              <w:right w:type="dxa" w:w="100"/>
            </w:tcMar>
          </w:tcPr>
          <w:p>
            <w:r>
              <w:rPr>
                <w:color w:val="161B2E"/>
                <w:sz w:val="19"/>
                <w:szCs w:val="19"/>
              </w:rPr>
              <w:t xml:space="preserve">Preeklamsia</w:t>
            </w:r>
          </w:p>
        </w:tc>
        <w:tc>
          <w:tcPr>
            <w:tcW w:type="dxa" w:w="2256"/>
            <w:shd w:fill="FFFFFF" w:val="clear"/>
            <w:tcMar>
              <w:top w:type="dxa" w:w="90"/>
              <w:left w:type="dxa" w:w="100"/>
              <w:bottom w:type="dxa" w:w="90"/>
              <w:right w:type="dxa" w:w="100"/>
            </w:tcMar>
          </w:tcPr>
          <w:p>
            <w:r>
              <w:rPr>
                <w:color w:val="161B2E"/>
                <w:sz w:val="19"/>
                <w:szCs w:val="19"/>
              </w:rPr>
              <w:t xml:space="preserve">O14.9</w:t>
            </w:r>
          </w:p>
        </w:tc>
        <w:tc>
          <w:tcPr>
            <w:tcW w:type="dxa" w:w="2256"/>
            <w:shd w:fill="FFFFFF" w:val="clear"/>
            <w:tcMar>
              <w:top w:type="dxa" w:w="90"/>
              <w:left w:type="dxa" w:w="100"/>
              <w:bottom w:type="dxa" w:w="90"/>
              <w:right w:type="dxa" w:w="100"/>
            </w:tcMar>
          </w:tcPr>
          <w:p>
            <w:r>
              <w:rPr>
                <w:color w:val="161B2E"/>
                <w:sz w:val="19"/>
                <w:szCs w:val="19"/>
              </w:rPr>
              <w:t xml:space="preserve">Hipertensi disertai proteinuria dalam kehamilan.</w:t>
            </w:r>
          </w:p>
        </w:tc>
      </w:tr>
      <w:tr>
        <w:tc>
          <w:tcPr>
            <w:tcW w:type="dxa" w:w="2256"/>
            <w:shd w:fill="F5F6FA" w:val="clear"/>
            <w:tcMar>
              <w:top w:type="dxa" w:w="90"/>
              <w:left w:type="dxa" w:w="100"/>
              <w:bottom w:type="dxa" w:w="90"/>
              <w:right w:type="dxa" w:w="100"/>
            </w:tcMar>
          </w:tcPr>
          <w:p>
            <w:r>
              <w:rPr>
                <w:color w:val="161B2E"/>
                <w:sz w:val="19"/>
                <w:szCs w:val="19"/>
              </w:rPr>
              <w:t xml:space="preserve">9</w:t>
            </w:r>
          </w:p>
        </w:tc>
        <w:tc>
          <w:tcPr>
            <w:tcW w:type="dxa" w:w="2256"/>
            <w:shd w:fill="F5F6FA" w:val="clear"/>
            <w:tcMar>
              <w:top w:type="dxa" w:w="90"/>
              <w:left w:type="dxa" w:w="100"/>
              <w:bottom w:type="dxa" w:w="90"/>
              <w:right w:type="dxa" w:w="100"/>
            </w:tcMar>
          </w:tcPr>
          <w:p>
            <w:r>
              <w:rPr>
                <w:color w:val="161B2E"/>
                <w:sz w:val="19"/>
                <w:szCs w:val="19"/>
              </w:rPr>
              <w:t xml:space="preserve">Preeklamsia dengan gejala berat</w:t>
            </w:r>
          </w:p>
        </w:tc>
        <w:tc>
          <w:tcPr>
            <w:tcW w:type="dxa" w:w="2256"/>
            <w:shd w:fill="F5F6FA" w:val="clear"/>
            <w:tcMar>
              <w:top w:type="dxa" w:w="90"/>
              <w:left w:type="dxa" w:w="100"/>
              <w:bottom w:type="dxa" w:w="90"/>
              <w:right w:type="dxa" w:w="100"/>
            </w:tcMar>
          </w:tcPr>
          <w:p>
            <w:r>
              <w:rPr>
                <w:color w:val="161B2E"/>
                <w:sz w:val="19"/>
                <w:szCs w:val="19"/>
              </w:rPr>
              <w:t xml:space="preserve">O14.1</w:t>
            </w:r>
          </w:p>
        </w:tc>
        <w:tc>
          <w:tcPr>
            <w:tcW w:type="dxa" w:w="2256"/>
            <w:shd w:fill="F5F6FA" w:val="clear"/>
            <w:tcMar>
              <w:top w:type="dxa" w:w="90"/>
              <w:left w:type="dxa" w:w="100"/>
              <w:bottom w:type="dxa" w:w="90"/>
              <w:right w:type="dxa" w:w="100"/>
            </w:tcMar>
          </w:tcPr>
          <w:p>
            <w:r>
              <w:rPr>
                <w:color w:val="161B2E"/>
                <w:sz w:val="19"/>
                <w:szCs w:val="19"/>
              </w:rPr>
              <w:t xml:space="preserve">Risiko tinggi komplikasi maternal-fetal.</w:t>
            </w:r>
          </w:p>
        </w:tc>
      </w:tr>
      <w:tr>
        <w:tc>
          <w:tcPr>
            <w:tcW w:type="dxa" w:w="2256"/>
            <w:shd w:fill="FFFFFF" w:val="clear"/>
            <w:tcMar>
              <w:top w:type="dxa" w:w="90"/>
              <w:left w:type="dxa" w:w="100"/>
              <w:bottom w:type="dxa" w:w="90"/>
              <w:right w:type="dxa" w:w="100"/>
            </w:tcMar>
          </w:tcPr>
          <w:p>
            <w:r>
              <w:rPr>
                <w:color w:val="161B2E"/>
                <w:sz w:val="19"/>
                <w:szCs w:val="19"/>
              </w:rPr>
              <w:t xml:space="preserve">10</w:t>
            </w:r>
          </w:p>
        </w:tc>
        <w:tc>
          <w:tcPr>
            <w:tcW w:type="dxa" w:w="2256"/>
            <w:shd w:fill="FFFFFF" w:val="clear"/>
            <w:tcMar>
              <w:top w:type="dxa" w:w="90"/>
              <w:left w:type="dxa" w:w="100"/>
              <w:bottom w:type="dxa" w:w="90"/>
              <w:right w:type="dxa" w:w="100"/>
            </w:tcMar>
          </w:tcPr>
          <w:p>
            <w:r>
              <w:rPr>
                <w:color w:val="161B2E"/>
                <w:sz w:val="19"/>
                <w:szCs w:val="19"/>
              </w:rPr>
              <w:t xml:space="preserve">Eklamsia</w:t>
            </w:r>
          </w:p>
        </w:tc>
        <w:tc>
          <w:tcPr>
            <w:tcW w:type="dxa" w:w="2256"/>
            <w:shd w:fill="FFFFFF" w:val="clear"/>
            <w:tcMar>
              <w:top w:type="dxa" w:w="90"/>
              <w:left w:type="dxa" w:w="100"/>
              <w:bottom w:type="dxa" w:w="90"/>
              <w:right w:type="dxa" w:w="100"/>
            </w:tcMar>
          </w:tcPr>
          <w:p>
            <w:r>
              <w:rPr>
                <w:color w:val="161B2E"/>
                <w:sz w:val="19"/>
                <w:szCs w:val="19"/>
              </w:rPr>
              <w:t xml:space="preserve">O15.9</w:t>
            </w:r>
          </w:p>
        </w:tc>
        <w:tc>
          <w:tcPr>
            <w:tcW w:type="dxa" w:w="2256"/>
            <w:shd w:fill="FFFFFF" w:val="clear"/>
            <w:tcMar>
              <w:top w:type="dxa" w:w="90"/>
              <w:left w:type="dxa" w:w="100"/>
              <w:bottom w:type="dxa" w:w="90"/>
              <w:right w:type="dxa" w:w="100"/>
            </w:tcMar>
          </w:tcPr>
          <w:p>
            <w:r>
              <w:rPr>
                <w:color w:val="161B2E"/>
                <w:sz w:val="19"/>
                <w:szCs w:val="19"/>
              </w:rPr>
              <w:t xml:space="preserve">Kejang pada preeklamsia; kegawatdaruratan obstetri.</w:t>
            </w:r>
          </w:p>
        </w:tc>
      </w:tr>
      <w:tr>
        <w:tc>
          <w:tcPr>
            <w:tcW w:type="dxa" w:w="2256"/>
            <w:shd w:fill="F5F6FA" w:val="clear"/>
            <w:tcMar>
              <w:top w:type="dxa" w:w="90"/>
              <w:left w:type="dxa" w:w="100"/>
              <w:bottom w:type="dxa" w:w="90"/>
              <w:right w:type="dxa" w:w="100"/>
            </w:tcMar>
          </w:tcPr>
          <w:p>
            <w:r>
              <w:rPr>
                <w:color w:val="161B2E"/>
                <w:sz w:val="19"/>
                <w:szCs w:val="19"/>
              </w:rPr>
              <w:t xml:space="preserve">11</w:t>
            </w:r>
          </w:p>
        </w:tc>
        <w:tc>
          <w:tcPr>
            <w:tcW w:type="dxa" w:w="2256"/>
            <w:shd w:fill="F5F6FA" w:val="clear"/>
            <w:tcMar>
              <w:top w:type="dxa" w:w="90"/>
              <w:left w:type="dxa" w:w="100"/>
              <w:bottom w:type="dxa" w:w="90"/>
              <w:right w:type="dxa" w:w="100"/>
            </w:tcMar>
          </w:tcPr>
          <w:p>
            <w:r>
              <w:rPr>
                <w:color w:val="161B2E"/>
                <w:sz w:val="19"/>
                <w:szCs w:val="19"/>
              </w:rPr>
              <w:t xml:space="preserve">Kehamilan dengan riwayat seksio sesarea</w:t>
            </w:r>
          </w:p>
        </w:tc>
        <w:tc>
          <w:tcPr>
            <w:tcW w:type="dxa" w:w="2256"/>
            <w:shd w:fill="F5F6FA" w:val="clear"/>
            <w:tcMar>
              <w:top w:type="dxa" w:w="90"/>
              <w:left w:type="dxa" w:w="100"/>
              <w:bottom w:type="dxa" w:w="90"/>
              <w:right w:type="dxa" w:w="100"/>
            </w:tcMar>
          </w:tcPr>
          <w:p>
            <w:r>
              <w:rPr>
                <w:color w:val="161B2E"/>
                <w:sz w:val="19"/>
                <w:szCs w:val="19"/>
              </w:rPr>
              <w:t xml:space="preserve">O34.2</w:t>
            </w:r>
          </w:p>
        </w:tc>
        <w:tc>
          <w:tcPr>
            <w:tcW w:type="dxa" w:w="2256"/>
            <w:shd w:fill="F5F6FA" w:val="clear"/>
            <w:tcMar>
              <w:top w:type="dxa" w:w="90"/>
              <w:left w:type="dxa" w:w="100"/>
              <w:bottom w:type="dxa" w:w="90"/>
              <w:right w:type="dxa" w:w="100"/>
            </w:tcMar>
          </w:tcPr>
          <w:p>
            <w:r>
              <w:rPr>
                <w:color w:val="161B2E"/>
                <w:sz w:val="19"/>
                <w:szCs w:val="19"/>
              </w:rPr>
              <w:t xml:space="preserve">Risiko ruptur uteri; pemantauan ketat persalinan.</w:t>
            </w:r>
          </w:p>
        </w:tc>
      </w:tr>
      <w:tr>
        <w:tc>
          <w:tcPr>
            <w:tcW w:type="dxa" w:w="2256"/>
            <w:shd w:fill="FFFFFF" w:val="clear"/>
            <w:tcMar>
              <w:top w:type="dxa" w:w="90"/>
              <w:left w:type="dxa" w:w="100"/>
              <w:bottom w:type="dxa" w:w="90"/>
              <w:right w:type="dxa" w:w="100"/>
            </w:tcMar>
          </w:tcPr>
          <w:p>
            <w:r>
              <w:rPr>
                <w:color w:val="161B2E"/>
                <w:sz w:val="19"/>
                <w:szCs w:val="19"/>
              </w:rPr>
              <w:t xml:space="preserve">12</w:t>
            </w:r>
          </w:p>
        </w:tc>
        <w:tc>
          <w:tcPr>
            <w:tcW w:type="dxa" w:w="2256"/>
            <w:shd w:fill="FFFFFF" w:val="clear"/>
            <w:tcMar>
              <w:top w:type="dxa" w:w="90"/>
              <w:left w:type="dxa" w:w="100"/>
              <w:bottom w:type="dxa" w:w="90"/>
              <w:right w:type="dxa" w:w="100"/>
            </w:tcMar>
          </w:tcPr>
          <w:p>
            <w:r>
              <w:rPr>
                <w:color w:val="161B2E"/>
                <w:sz w:val="19"/>
                <w:szCs w:val="19"/>
              </w:rPr>
              <w:t xml:space="preserve">Plasenta previa dan letak rendah</w:t>
            </w:r>
          </w:p>
        </w:tc>
        <w:tc>
          <w:tcPr>
            <w:tcW w:type="dxa" w:w="2256"/>
            <w:shd w:fill="FFFFFF" w:val="clear"/>
            <w:tcMar>
              <w:top w:type="dxa" w:w="90"/>
              <w:left w:type="dxa" w:w="100"/>
              <w:bottom w:type="dxa" w:w="90"/>
              <w:right w:type="dxa" w:w="100"/>
            </w:tcMar>
          </w:tcPr>
          <w:p>
            <w:r>
              <w:rPr>
                <w:color w:val="161B2E"/>
                <w:sz w:val="19"/>
                <w:szCs w:val="19"/>
              </w:rPr>
              <w:t xml:space="preserve">O44.1</w:t>
            </w:r>
          </w:p>
        </w:tc>
        <w:tc>
          <w:tcPr>
            <w:tcW w:type="dxa" w:w="2256"/>
            <w:shd w:fill="FFFFFF" w:val="clear"/>
            <w:tcMar>
              <w:top w:type="dxa" w:w="90"/>
              <w:left w:type="dxa" w:w="100"/>
              <w:bottom w:type="dxa" w:w="90"/>
              <w:right w:type="dxa" w:w="100"/>
            </w:tcMar>
          </w:tcPr>
          <w:p>
            <w:r>
              <w:rPr>
                <w:color w:val="161B2E"/>
                <w:sz w:val="19"/>
                <w:szCs w:val="19"/>
              </w:rPr>
              <w:t xml:space="preserve">Perdarahan antepartum trimester 2–3.</w:t>
            </w:r>
          </w:p>
        </w:tc>
      </w:tr>
      <w:tr>
        <w:tc>
          <w:tcPr>
            <w:tcW w:type="dxa" w:w="2256"/>
            <w:shd w:fill="F5F6FA" w:val="clear"/>
            <w:tcMar>
              <w:top w:type="dxa" w:w="90"/>
              <w:left w:type="dxa" w:w="100"/>
              <w:bottom w:type="dxa" w:w="90"/>
              <w:right w:type="dxa" w:w="100"/>
            </w:tcMar>
          </w:tcPr>
          <w:p>
            <w:r>
              <w:rPr>
                <w:color w:val="161B2E"/>
                <w:sz w:val="19"/>
                <w:szCs w:val="19"/>
              </w:rPr>
              <w:t xml:space="preserve">13</w:t>
            </w:r>
          </w:p>
        </w:tc>
        <w:tc>
          <w:tcPr>
            <w:tcW w:type="dxa" w:w="2256"/>
            <w:shd w:fill="F5F6FA" w:val="clear"/>
            <w:tcMar>
              <w:top w:type="dxa" w:w="90"/>
              <w:left w:type="dxa" w:w="100"/>
              <w:bottom w:type="dxa" w:w="90"/>
              <w:right w:type="dxa" w:w="100"/>
            </w:tcMar>
          </w:tcPr>
          <w:p>
            <w:r>
              <w:rPr>
                <w:color w:val="161B2E"/>
                <w:sz w:val="19"/>
                <w:szCs w:val="19"/>
              </w:rPr>
              <w:t xml:space="preserve">Ruptur uteri</w:t>
            </w:r>
          </w:p>
        </w:tc>
        <w:tc>
          <w:tcPr>
            <w:tcW w:type="dxa" w:w="2256"/>
            <w:shd w:fill="F5F6FA" w:val="clear"/>
            <w:tcMar>
              <w:top w:type="dxa" w:w="90"/>
              <w:left w:type="dxa" w:w="100"/>
              <w:bottom w:type="dxa" w:w="90"/>
              <w:right w:type="dxa" w:w="100"/>
            </w:tcMar>
          </w:tcPr>
          <w:p>
            <w:r>
              <w:rPr>
                <w:color w:val="161B2E"/>
                <w:sz w:val="19"/>
                <w:szCs w:val="19"/>
              </w:rPr>
              <w:t xml:space="preserve">O71.1</w:t>
            </w:r>
          </w:p>
        </w:tc>
        <w:tc>
          <w:tcPr>
            <w:tcW w:type="dxa" w:w="2256"/>
            <w:shd w:fill="F5F6FA" w:val="clear"/>
            <w:tcMar>
              <w:top w:type="dxa" w:w="90"/>
              <w:left w:type="dxa" w:w="100"/>
              <w:bottom w:type="dxa" w:w="90"/>
              <w:right w:type="dxa" w:w="100"/>
            </w:tcMar>
          </w:tcPr>
          <w:p>
            <w:r>
              <w:rPr>
                <w:color w:val="161B2E"/>
                <w:sz w:val="19"/>
                <w:szCs w:val="19"/>
              </w:rPr>
              <w:t xml:space="preserve">Kegawatdaruratan obstetri risiko mortalitas tinggi.</w:t>
            </w:r>
          </w:p>
        </w:tc>
      </w:tr>
      <w:tr>
        <w:tc>
          <w:tcPr>
            <w:tcW w:type="dxa" w:w="2256"/>
            <w:shd w:fill="FFFFFF" w:val="clear"/>
            <w:tcMar>
              <w:top w:type="dxa" w:w="90"/>
              <w:left w:type="dxa" w:w="100"/>
              <w:bottom w:type="dxa" w:w="90"/>
              <w:right w:type="dxa" w:w="100"/>
            </w:tcMar>
          </w:tcPr>
          <w:p>
            <w:r>
              <w:rPr>
                <w:color w:val="161B2E"/>
                <w:sz w:val="19"/>
                <w:szCs w:val="19"/>
              </w:rPr>
              <w:t xml:space="preserve">14</w:t>
            </w:r>
          </w:p>
        </w:tc>
        <w:tc>
          <w:tcPr>
            <w:tcW w:type="dxa" w:w="2256"/>
            <w:shd w:fill="FFFFFF" w:val="clear"/>
            <w:tcMar>
              <w:top w:type="dxa" w:w="90"/>
              <w:left w:type="dxa" w:w="100"/>
              <w:bottom w:type="dxa" w:w="90"/>
              <w:right w:type="dxa" w:w="100"/>
            </w:tcMar>
          </w:tcPr>
          <w:p>
            <w:r>
              <w:rPr>
                <w:color w:val="161B2E"/>
                <w:sz w:val="19"/>
                <w:szCs w:val="19"/>
              </w:rPr>
              <w:t xml:space="preserve">Atonia uteri</w:t>
            </w:r>
          </w:p>
        </w:tc>
        <w:tc>
          <w:tcPr>
            <w:tcW w:type="dxa" w:w="2256"/>
            <w:shd w:fill="FFFFFF" w:val="clear"/>
            <w:tcMar>
              <w:top w:type="dxa" w:w="90"/>
              <w:left w:type="dxa" w:w="100"/>
              <w:bottom w:type="dxa" w:w="90"/>
              <w:right w:type="dxa" w:w="100"/>
            </w:tcMar>
          </w:tcPr>
          <w:p>
            <w:r>
              <w:rPr>
                <w:color w:val="161B2E"/>
                <w:sz w:val="19"/>
                <w:szCs w:val="19"/>
              </w:rPr>
              <w:t xml:space="preserve">O72.1</w:t>
            </w:r>
          </w:p>
        </w:tc>
        <w:tc>
          <w:tcPr>
            <w:tcW w:type="dxa" w:w="2256"/>
            <w:shd w:fill="FFFFFF" w:val="clear"/>
            <w:tcMar>
              <w:top w:type="dxa" w:w="90"/>
              <w:left w:type="dxa" w:w="100"/>
              <w:bottom w:type="dxa" w:w="90"/>
              <w:right w:type="dxa" w:w="100"/>
            </w:tcMar>
          </w:tcPr>
          <w:p>
            <w:r>
              <w:rPr>
                <w:color w:val="161B2E"/>
                <w:sz w:val="19"/>
                <w:szCs w:val="19"/>
              </w:rPr>
              <w:t xml:space="preserve">Penyebab utama perdarahan pascapersalinan.</w:t>
            </w:r>
          </w:p>
        </w:tc>
      </w:tr>
      <w:tr>
        <w:tc>
          <w:tcPr>
            <w:tcW w:type="dxa" w:w="2256"/>
            <w:shd w:fill="F5F6FA" w:val="clear"/>
            <w:tcMar>
              <w:top w:type="dxa" w:w="90"/>
              <w:left w:type="dxa" w:w="100"/>
              <w:bottom w:type="dxa" w:w="90"/>
              <w:right w:type="dxa" w:w="100"/>
            </w:tcMar>
          </w:tcPr>
          <w:p>
            <w:r>
              <w:rPr>
                <w:color w:val="161B2E"/>
                <w:sz w:val="19"/>
                <w:szCs w:val="19"/>
              </w:rPr>
              <w:t xml:space="preserve">15</w:t>
            </w:r>
          </w:p>
        </w:tc>
        <w:tc>
          <w:tcPr>
            <w:tcW w:type="dxa" w:w="2256"/>
            <w:shd w:fill="F5F6FA" w:val="clear"/>
            <w:tcMar>
              <w:top w:type="dxa" w:w="90"/>
              <w:left w:type="dxa" w:w="100"/>
              <w:bottom w:type="dxa" w:w="90"/>
              <w:right w:type="dxa" w:w="100"/>
            </w:tcMar>
          </w:tcPr>
          <w:p>
            <w:r>
              <w:rPr>
                <w:color w:val="161B2E"/>
                <w:sz w:val="19"/>
                <w:szCs w:val="19"/>
              </w:rPr>
              <w:t xml:space="preserve">Solusio plasenta</w:t>
            </w:r>
          </w:p>
        </w:tc>
        <w:tc>
          <w:tcPr>
            <w:tcW w:type="dxa" w:w="2256"/>
            <w:shd w:fill="F5F6FA" w:val="clear"/>
            <w:tcMar>
              <w:top w:type="dxa" w:w="90"/>
              <w:left w:type="dxa" w:w="100"/>
              <w:bottom w:type="dxa" w:w="90"/>
              <w:right w:type="dxa" w:w="100"/>
            </w:tcMar>
          </w:tcPr>
          <w:p>
            <w:r>
              <w:rPr>
                <w:color w:val="161B2E"/>
                <w:sz w:val="19"/>
                <w:szCs w:val="19"/>
              </w:rPr>
              <w:t xml:space="preserve">O45.9</w:t>
            </w:r>
          </w:p>
        </w:tc>
        <w:tc>
          <w:tcPr>
            <w:tcW w:type="dxa" w:w="2256"/>
            <w:shd w:fill="F5F6FA" w:val="clear"/>
            <w:tcMar>
              <w:top w:type="dxa" w:w="90"/>
              <w:left w:type="dxa" w:w="100"/>
              <w:bottom w:type="dxa" w:w="90"/>
              <w:right w:type="dxa" w:w="100"/>
            </w:tcMar>
          </w:tcPr>
          <w:p>
            <w:r>
              <w:rPr>
                <w:color w:val="161B2E"/>
                <w:sz w:val="19"/>
                <w:szCs w:val="19"/>
              </w:rPr>
              <w:t xml:space="preserve">Perdarahan antepartum, risiko fetal-maternal.</w:t>
            </w:r>
          </w:p>
        </w:tc>
      </w:tr>
      <w:tr>
        <w:tc>
          <w:tcPr>
            <w:tcW w:type="dxa" w:w="2256"/>
            <w:shd w:fill="FFFFFF" w:val="clear"/>
            <w:tcMar>
              <w:top w:type="dxa" w:w="90"/>
              <w:left w:type="dxa" w:w="100"/>
              <w:bottom w:type="dxa" w:w="90"/>
              <w:right w:type="dxa" w:w="100"/>
            </w:tcMar>
          </w:tcPr>
          <w:p>
            <w:r>
              <w:rPr>
                <w:color w:val="161B2E"/>
                <w:sz w:val="19"/>
                <w:szCs w:val="19"/>
              </w:rPr>
              <w:t xml:space="preserve">16</w:t>
            </w:r>
          </w:p>
        </w:tc>
        <w:tc>
          <w:tcPr>
            <w:tcW w:type="dxa" w:w="2256"/>
            <w:shd w:fill="FFFFFF" w:val="clear"/>
            <w:tcMar>
              <w:top w:type="dxa" w:w="90"/>
              <w:left w:type="dxa" w:w="100"/>
              <w:bottom w:type="dxa" w:w="90"/>
              <w:right w:type="dxa" w:w="100"/>
            </w:tcMar>
          </w:tcPr>
          <w:p>
            <w:r>
              <w:rPr>
                <w:color w:val="161B2E"/>
                <w:sz w:val="19"/>
                <w:szCs w:val="19"/>
              </w:rPr>
              <w:t xml:space="preserve">Retensio plasenta</w:t>
            </w:r>
          </w:p>
        </w:tc>
        <w:tc>
          <w:tcPr>
            <w:tcW w:type="dxa" w:w="2256"/>
            <w:shd w:fill="FFFFFF" w:val="clear"/>
            <w:tcMar>
              <w:top w:type="dxa" w:w="90"/>
              <w:left w:type="dxa" w:w="100"/>
              <w:bottom w:type="dxa" w:w="90"/>
              <w:right w:type="dxa" w:w="100"/>
            </w:tcMar>
          </w:tcPr>
          <w:p>
            <w:r>
              <w:rPr>
                <w:color w:val="161B2E"/>
                <w:sz w:val="19"/>
                <w:szCs w:val="19"/>
              </w:rPr>
              <w:t xml:space="preserve">O73.0–O73.1</w:t>
            </w:r>
          </w:p>
        </w:tc>
        <w:tc>
          <w:tcPr>
            <w:tcW w:type="dxa" w:w="2256"/>
            <w:shd w:fill="FFFFFF" w:val="clear"/>
            <w:tcMar>
              <w:top w:type="dxa" w:w="90"/>
              <w:left w:type="dxa" w:w="100"/>
              <w:bottom w:type="dxa" w:w="90"/>
              <w:right w:type="dxa" w:w="100"/>
            </w:tcMar>
          </w:tcPr>
          <w:p>
            <w:r>
              <w:rPr>
                <w:color w:val="161B2E"/>
                <w:sz w:val="19"/>
                <w:szCs w:val="19"/>
              </w:rPr>
              <w:t xml:space="preserve">Penyebab perdarahan postpartum, perlu intervensi segera.</w:t>
            </w:r>
          </w:p>
        </w:tc>
      </w:tr>
      <w:tr>
        <w:tc>
          <w:tcPr>
            <w:tcW w:type="dxa" w:w="2256"/>
            <w:shd w:fill="F5F6FA" w:val="clear"/>
            <w:tcMar>
              <w:top w:type="dxa" w:w="90"/>
              <w:left w:type="dxa" w:w="100"/>
              <w:bottom w:type="dxa" w:w="90"/>
              <w:right w:type="dxa" w:w="100"/>
            </w:tcMar>
          </w:tcPr>
          <w:p>
            <w:r>
              <w:rPr>
                <w:color w:val="161B2E"/>
                <w:sz w:val="19"/>
                <w:szCs w:val="19"/>
              </w:rPr>
              <w:t xml:space="preserve">19</w:t>
            </w:r>
          </w:p>
        </w:tc>
        <w:tc>
          <w:tcPr>
            <w:tcW w:type="dxa" w:w="2256"/>
            <w:shd w:fill="F5F6FA" w:val="clear"/>
            <w:tcMar>
              <w:top w:type="dxa" w:w="90"/>
              <w:left w:type="dxa" w:w="100"/>
              <w:bottom w:type="dxa" w:w="90"/>
              <w:right w:type="dxa" w:w="100"/>
            </w:tcMar>
          </w:tcPr>
          <w:p>
            <w:r>
              <w:rPr>
                <w:color w:val="161B2E"/>
                <w:sz w:val="19"/>
                <w:szCs w:val="19"/>
              </w:rPr>
              <w:t xml:space="preserve">Robekan serviks</w:t>
            </w:r>
          </w:p>
        </w:tc>
        <w:tc>
          <w:tcPr>
            <w:tcW w:type="dxa" w:w="2256"/>
            <w:shd w:fill="F5F6FA" w:val="clear"/>
            <w:tcMar>
              <w:top w:type="dxa" w:w="90"/>
              <w:left w:type="dxa" w:w="100"/>
              <w:bottom w:type="dxa" w:w="90"/>
              <w:right w:type="dxa" w:w="100"/>
            </w:tcMar>
          </w:tcPr>
          <w:p>
            <w:r>
              <w:rPr>
                <w:color w:val="161B2E"/>
                <w:sz w:val="19"/>
                <w:szCs w:val="19"/>
              </w:rPr>
              <w:t xml:space="preserve">O71.3</w:t>
            </w:r>
          </w:p>
        </w:tc>
        <w:tc>
          <w:tcPr>
            <w:tcW w:type="dxa" w:w="2256"/>
            <w:shd w:fill="F5F6FA" w:val="clear"/>
            <w:tcMar>
              <w:top w:type="dxa" w:w="90"/>
              <w:left w:type="dxa" w:w="100"/>
              <w:bottom w:type="dxa" w:w="90"/>
              <w:right w:type="dxa" w:w="100"/>
            </w:tcMar>
          </w:tcPr>
          <w:p>
            <w:r>
              <w:rPr>
                <w:color w:val="161B2E"/>
                <w:sz w:val="19"/>
                <w:szCs w:val="19"/>
              </w:rPr>
              <w:t xml:space="preserve">Trauma serviks saat persalinan pervaginam.</w:t>
            </w:r>
          </w:p>
        </w:tc>
      </w:tr>
      <w:tr>
        <w:tc>
          <w:tcPr>
            <w:tcW w:type="dxa" w:w="2256"/>
            <w:shd w:fill="FFFFFF" w:val="clear"/>
            <w:tcMar>
              <w:top w:type="dxa" w:w="90"/>
              <w:left w:type="dxa" w:w="100"/>
              <w:bottom w:type="dxa" w:w="90"/>
              <w:right w:type="dxa" w:w="100"/>
            </w:tcMar>
          </w:tcPr>
          <w:p>
            <w:r>
              <w:rPr>
                <w:color w:val="161B2E"/>
                <w:sz w:val="19"/>
                <w:szCs w:val="19"/>
              </w:rPr>
              <w:t xml:space="preserve">20</w:t>
            </w:r>
          </w:p>
        </w:tc>
        <w:tc>
          <w:tcPr>
            <w:tcW w:type="dxa" w:w="2256"/>
            <w:shd w:fill="FFFFFF" w:val="clear"/>
            <w:tcMar>
              <w:top w:type="dxa" w:w="90"/>
              <w:left w:type="dxa" w:w="100"/>
              <w:bottom w:type="dxa" w:w="90"/>
              <w:right w:type="dxa" w:w="100"/>
            </w:tcMar>
          </w:tcPr>
          <w:p>
            <w:r>
              <w:rPr>
                <w:color w:val="161B2E"/>
                <w:sz w:val="19"/>
                <w:szCs w:val="19"/>
              </w:rPr>
              <w:t xml:space="preserve">Persalinan macet (distosia)</w:t>
            </w:r>
          </w:p>
        </w:tc>
        <w:tc>
          <w:tcPr>
            <w:tcW w:type="dxa" w:w="2256"/>
            <w:shd w:fill="FFFFFF" w:val="clear"/>
            <w:tcMar>
              <w:top w:type="dxa" w:w="90"/>
              <w:left w:type="dxa" w:w="100"/>
              <w:bottom w:type="dxa" w:w="90"/>
              <w:right w:type="dxa" w:w="100"/>
            </w:tcMar>
          </w:tcPr>
          <w:p>
            <w:r>
              <w:rPr>
                <w:color w:val="161B2E"/>
                <w:sz w:val="19"/>
                <w:szCs w:val="19"/>
              </w:rPr>
              <w:t xml:space="preserve">O66.9</w:t>
            </w:r>
          </w:p>
        </w:tc>
        <w:tc>
          <w:tcPr>
            <w:tcW w:type="dxa" w:w="2256"/>
            <w:shd w:fill="FFFFFF" w:val="clear"/>
            <w:tcMar>
              <w:top w:type="dxa" w:w="90"/>
              <w:left w:type="dxa" w:w="100"/>
              <w:bottom w:type="dxa" w:w="90"/>
              <w:right w:type="dxa" w:w="100"/>
            </w:tcMar>
          </w:tcPr>
          <w:p>
            <w:r>
              <w:rPr>
                <w:color w:val="161B2E"/>
                <w:sz w:val="19"/>
                <w:szCs w:val="19"/>
              </w:rPr>
              <w:t xml:space="preserve">Hambatan kemajuan persalinan, risiko intervensi operatif.</w:t>
            </w:r>
          </w:p>
        </w:tc>
      </w:tr>
      <w:tr>
        <w:tc>
          <w:tcPr>
            <w:tcW w:type="dxa" w:w="2256"/>
            <w:shd w:fill="F5F6FA" w:val="clear"/>
            <w:tcMar>
              <w:top w:type="dxa" w:w="90"/>
              <w:left w:type="dxa" w:w="100"/>
              <w:bottom w:type="dxa" w:w="90"/>
              <w:right w:type="dxa" w:w="100"/>
            </w:tcMar>
          </w:tcPr>
          <w:p>
            <w:r>
              <w:rPr>
                <w:color w:val="161B2E"/>
                <w:sz w:val="19"/>
                <w:szCs w:val="19"/>
              </w:rPr>
              <w:t xml:space="preserve">21</w:t>
            </w:r>
          </w:p>
        </w:tc>
        <w:tc>
          <w:tcPr>
            <w:tcW w:type="dxa" w:w="2256"/>
            <w:shd w:fill="F5F6FA" w:val="clear"/>
            <w:tcMar>
              <w:top w:type="dxa" w:w="90"/>
              <w:left w:type="dxa" w:w="100"/>
              <w:bottom w:type="dxa" w:w="90"/>
              <w:right w:type="dxa" w:w="100"/>
            </w:tcMar>
          </w:tcPr>
          <w:p>
            <w:r>
              <w:rPr>
                <w:color w:val="161B2E"/>
                <w:sz w:val="19"/>
                <w:szCs w:val="19"/>
              </w:rPr>
              <w:t xml:space="preserve">Persalinan preterm</w:t>
            </w:r>
          </w:p>
        </w:tc>
        <w:tc>
          <w:tcPr>
            <w:tcW w:type="dxa" w:w="2256"/>
            <w:shd w:fill="F5F6FA" w:val="clear"/>
            <w:tcMar>
              <w:top w:type="dxa" w:w="90"/>
              <w:left w:type="dxa" w:w="100"/>
              <w:bottom w:type="dxa" w:w="90"/>
              <w:right w:type="dxa" w:w="100"/>
            </w:tcMar>
          </w:tcPr>
          <w:p>
            <w:r>
              <w:rPr>
                <w:color w:val="161B2E"/>
                <w:sz w:val="19"/>
                <w:szCs w:val="19"/>
              </w:rPr>
              <w:t xml:space="preserve">O60</w:t>
            </w:r>
          </w:p>
        </w:tc>
        <w:tc>
          <w:tcPr>
            <w:tcW w:type="dxa" w:w="2256"/>
            <w:shd w:fill="F5F6FA" w:val="clear"/>
            <w:tcMar>
              <w:top w:type="dxa" w:w="90"/>
              <w:left w:type="dxa" w:w="100"/>
              <w:bottom w:type="dxa" w:w="90"/>
              <w:right w:type="dxa" w:w="100"/>
            </w:tcMar>
          </w:tcPr>
          <w:p>
            <w:r>
              <w:rPr>
                <w:color w:val="161B2E"/>
                <w:sz w:val="19"/>
                <w:szCs w:val="19"/>
              </w:rPr>
              <w:t xml:space="preserve">Persalinan sebelum 37 minggu; morbiditas neonatal tinggi.</w:t>
            </w:r>
          </w:p>
        </w:tc>
      </w:tr>
      <w:tr>
        <w:tc>
          <w:tcPr>
            <w:tcW w:type="dxa" w:w="2256"/>
            <w:shd w:fill="FFFFFF" w:val="clear"/>
            <w:tcMar>
              <w:top w:type="dxa" w:w="90"/>
              <w:left w:type="dxa" w:w="100"/>
              <w:bottom w:type="dxa" w:w="90"/>
              <w:right w:type="dxa" w:w="100"/>
            </w:tcMar>
          </w:tcPr>
          <w:p>
            <w:r>
              <w:rPr>
                <w:color w:val="161B2E"/>
                <w:sz w:val="19"/>
                <w:szCs w:val="19"/>
              </w:rPr>
              <w:t xml:space="preserve">22</w:t>
            </w:r>
          </w:p>
        </w:tc>
        <w:tc>
          <w:tcPr>
            <w:tcW w:type="dxa" w:w="2256"/>
            <w:shd w:fill="FFFFFF" w:val="clear"/>
            <w:tcMar>
              <w:top w:type="dxa" w:w="90"/>
              <w:left w:type="dxa" w:w="100"/>
              <w:bottom w:type="dxa" w:w="90"/>
              <w:right w:type="dxa" w:w="100"/>
            </w:tcMar>
          </w:tcPr>
          <w:p>
            <w:r>
              <w:rPr>
                <w:color w:val="161B2E"/>
                <w:sz w:val="19"/>
                <w:szCs w:val="19"/>
              </w:rPr>
              <w:t xml:space="preserve">Ketuban pecah sebelum persalinan</w:t>
            </w:r>
          </w:p>
        </w:tc>
        <w:tc>
          <w:tcPr>
            <w:tcW w:type="dxa" w:w="2256"/>
            <w:shd w:fill="FFFFFF" w:val="clear"/>
            <w:tcMar>
              <w:top w:type="dxa" w:w="90"/>
              <w:left w:type="dxa" w:w="100"/>
              <w:bottom w:type="dxa" w:w="90"/>
              <w:right w:type="dxa" w:w="100"/>
            </w:tcMar>
          </w:tcPr>
          <w:p>
            <w:r>
              <w:rPr>
                <w:color w:val="161B2E"/>
                <w:sz w:val="19"/>
                <w:szCs w:val="19"/>
              </w:rPr>
              <w:t xml:space="preserve">O42.9</w:t>
            </w:r>
          </w:p>
        </w:tc>
        <w:tc>
          <w:tcPr>
            <w:tcW w:type="dxa" w:w="2256"/>
            <w:shd w:fill="FFFFFF" w:val="clear"/>
            <w:tcMar>
              <w:top w:type="dxa" w:w="90"/>
              <w:left w:type="dxa" w:w="100"/>
              <w:bottom w:type="dxa" w:w="90"/>
              <w:right w:type="dxa" w:w="100"/>
            </w:tcMar>
          </w:tcPr>
          <w:p>
            <w:r>
              <w:rPr>
                <w:color w:val="161B2E"/>
                <w:sz w:val="19"/>
                <w:szCs w:val="19"/>
              </w:rPr>
              <w:t xml:space="preserve">Risiko infeksi intrauterin.</w:t>
            </w:r>
          </w:p>
        </w:tc>
      </w:tr>
      <w:tr>
        <w:tc>
          <w:tcPr>
            <w:tcW w:type="dxa" w:w="2256"/>
            <w:shd w:fill="F5F6FA" w:val="clear"/>
            <w:tcMar>
              <w:top w:type="dxa" w:w="90"/>
              <w:left w:type="dxa" w:w="100"/>
              <w:bottom w:type="dxa" w:w="90"/>
              <w:right w:type="dxa" w:w="100"/>
            </w:tcMar>
          </w:tcPr>
          <w:p>
            <w:r>
              <w:rPr>
                <w:color w:val="161B2E"/>
                <w:sz w:val="19"/>
                <w:szCs w:val="19"/>
              </w:rPr>
              <w:t xml:space="preserve">23</w:t>
            </w:r>
          </w:p>
        </w:tc>
        <w:tc>
          <w:tcPr>
            <w:tcW w:type="dxa" w:w="2256"/>
            <w:shd w:fill="F5F6FA" w:val="clear"/>
            <w:tcMar>
              <w:top w:type="dxa" w:w="90"/>
              <w:left w:type="dxa" w:w="100"/>
              <w:bottom w:type="dxa" w:w="90"/>
              <w:right w:type="dxa" w:w="100"/>
            </w:tcMar>
          </w:tcPr>
          <w:p>
            <w:r>
              <w:rPr>
                <w:color w:val="161B2E"/>
                <w:sz w:val="19"/>
                <w:szCs w:val="19"/>
              </w:rPr>
              <w:t xml:space="preserve">Ketuban pecah pada kehamilan preterm</w:t>
            </w:r>
          </w:p>
        </w:tc>
        <w:tc>
          <w:tcPr>
            <w:tcW w:type="dxa" w:w="2256"/>
            <w:shd w:fill="F5F6FA" w:val="clear"/>
            <w:tcMar>
              <w:top w:type="dxa" w:w="90"/>
              <w:left w:type="dxa" w:w="100"/>
              <w:bottom w:type="dxa" w:w="90"/>
              <w:right w:type="dxa" w:w="100"/>
            </w:tcMar>
          </w:tcPr>
          <w:p>
            <w:r>
              <w:rPr>
                <w:color w:val="161B2E"/>
                <w:sz w:val="19"/>
                <w:szCs w:val="19"/>
              </w:rPr>
              <w:t xml:space="preserve">O42.9; O60</w:t>
            </w:r>
          </w:p>
        </w:tc>
        <w:tc>
          <w:tcPr>
            <w:tcW w:type="dxa" w:w="2256"/>
            <w:shd w:fill="F5F6FA" w:val="clear"/>
            <w:tcMar>
              <w:top w:type="dxa" w:w="90"/>
              <w:left w:type="dxa" w:w="100"/>
              <w:bottom w:type="dxa" w:w="90"/>
              <w:right w:type="dxa" w:w="100"/>
            </w:tcMar>
          </w:tcPr>
          <w:p>
            <w:r>
              <w:rPr>
                <w:color w:val="161B2E"/>
                <w:sz w:val="19"/>
                <w:szCs w:val="19"/>
              </w:rPr>
              <w:t xml:space="preserve">Komplikasi preterm; risiko infeksi dan prematuritas.</w:t>
            </w:r>
          </w:p>
        </w:tc>
      </w:tr>
      <w:tr>
        <w:tc>
          <w:tcPr>
            <w:tcW w:type="dxa" w:w="2256"/>
            <w:shd w:fill="FFFFFF" w:val="clear"/>
            <w:tcMar>
              <w:top w:type="dxa" w:w="90"/>
              <w:left w:type="dxa" w:w="100"/>
              <w:bottom w:type="dxa" w:w="90"/>
              <w:right w:type="dxa" w:w="100"/>
            </w:tcMar>
          </w:tcPr>
          <w:p>
            <w:r>
              <w:rPr>
                <w:color w:val="161B2E"/>
                <w:sz w:val="19"/>
                <w:szCs w:val="19"/>
              </w:rPr>
              <w:t xml:space="preserve">24</w:t>
            </w:r>
          </w:p>
        </w:tc>
        <w:tc>
          <w:tcPr>
            <w:tcW w:type="dxa" w:w="2256"/>
            <w:shd w:fill="FFFFFF" w:val="clear"/>
            <w:tcMar>
              <w:top w:type="dxa" w:w="90"/>
              <w:left w:type="dxa" w:w="100"/>
              <w:bottom w:type="dxa" w:w="90"/>
              <w:right w:type="dxa" w:w="100"/>
            </w:tcMar>
          </w:tcPr>
          <w:p>
            <w:r>
              <w:rPr>
                <w:color w:val="161B2E"/>
                <w:sz w:val="19"/>
                <w:szCs w:val="19"/>
              </w:rPr>
              <w:t xml:space="preserve">Gawat janin</w:t>
            </w:r>
          </w:p>
        </w:tc>
        <w:tc>
          <w:tcPr>
            <w:tcW w:type="dxa" w:w="2256"/>
            <w:shd w:fill="FFFFFF" w:val="clear"/>
            <w:tcMar>
              <w:top w:type="dxa" w:w="90"/>
              <w:left w:type="dxa" w:w="100"/>
              <w:bottom w:type="dxa" w:w="90"/>
              <w:right w:type="dxa" w:w="100"/>
            </w:tcMar>
          </w:tcPr>
          <w:p>
            <w:r>
              <w:rPr>
                <w:color w:val="161B2E"/>
                <w:sz w:val="19"/>
                <w:szCs w:val="19"/>
              </w:rPr>
              <w:t xml:space="preserve">O68.9</w:t>
            </w:r>
          </w:p>
        </w:tc>
        <w:tc>
          <w:tcPr>
            <w:tcW w:type="dxa" w:w="2256"/>
            <w:shd w:fill="FFFFFF" w:val="clear"/>
            <w:tcMar>
              <w:top w:type="dxa" w:w="90"/>
              <w:left w:type="dxa" w:w="100"/>
              <w:bottom w:type="dxa" w:w="90"/>
              <w:right w:type="dxa" w:w="100"/>
            </w:tcMar>
          </w:tcPr>
          <w:p>
            <w:r>
              <w:rPr>
                <w:color w:val="161B2E"/>
                <w:sz w:val="19"/>
                <w:szCs w:val="19"/>
              </w:rPr>
              <w:t xml:space="preserve">Gangguan oksigenasi janin, indikasi tindakan segera.</w:t>
            </w:r>
          </w:p>
        </w:tc>
      </w:tr>
      <w:tr>
        <w:tc>
          <w:tcPr>
            <w:tcW w:type="dxa" w:w="2256"/>
            <w:shd w:fill="F5F6FA" w:val="clear"/>
            <w:tcMar>
              <w:top w:type="dxa" w:w="90"/>
              <w:left w:type="dxa" w:w="100"/>
              <w:bottom w:type="dxa" w:w="90"/>
              <w:right w:type="dxa" w:w="100"/>
            </w:tcMar>
          </w:tcPr>
          <w:p>
            <w:r>
              <w:rPr>
                <w:color w:val="161B2E"/>
                <w:sz w:val="19"/>
                <w:szCs w:val="19"/>
              </w:rPr>
              <w:t xml:space="preserve">25</w:t>
            </w:r>
          </w:p>
        </w:tc>
        <w:tc>
          <w:tcPr>
            <w:tcW w:type="dxa" w:w="2256"/>
            <w:shd w:fill="F5F6FA" w:val="clear"/>
            <w:tcMar>
              <w:top w:type="dxa" w:w="90"/>
              <w:left w:type="dxa" w:w="100"/>
              <w:bottom w:type="dxa" w:w="90"/>
              <w:right w:type="dxa" w:w="100"/>
            </w:tcMar>
          </w:tcPr>
          <w:p>
            <w:r>
              <w:rPr>
                <w:color w:val="161B2E"/>
                <w:sz w:val="19"/>
                <w:szCs w:val="19"/>
              </w:rPr>
              <w:t xml:space="preserve">Janin kecil untuk masa kehamilan (IUGR)</w:t>
            </w:r>
          </w:p>
        </w:tc>
        <w:tc>
          <w:tcPr>
            <w:tcW w:type="dxa" w:w="2256"/>
            <w:shd w:fill="F5F6FA" w:val="clear"/>
            <w:tcMar>
              <w:top w:type="dxa" w:w="90"/>
              <w:left w:type="dxa" w:w="100"/>
              <w:bottom w:type="dxa" w:w="90"/>
              <w:right w:type="dxa" w:w="100"/>
            </w:tcMar>
          </w:tcPr>
          <w:p>
            <w:r>
              <w:rPr>
                <w:color w:val="161B2E"/>
                <w:sz w:val="19"/>
                <w:szCs w:val="19"/>
              </w:rPr>
              <w:t xml:space="preserve">P05.1</w:t>
            </w:r>
          </w:p>
        </w:tc>
        <w:tc>
          <w:tcPr>
            <w:tcW w:type="dxa" w:w="2256"/>
            <w:shd w:fill="F5F6FA" w:val="clear"/>
            <w:tcMar>
              <w:top w:type="dxa" w:w="90"/>
              <w:left w:type="dxa" w:w="100"/>
              <w:bottom w:type="dxa" w:w="90"/>
              <w:right w:type="dxa" w:w="100"/>
            </w:tcMar>
          </w:tcPr>
          <w:p>
            <w:r>
              <w:rPr>
                <w:color w:val="161B2E"/>
                <w:sz w:val="19"/>
                <w:szCs w:val="19"/>
              </w:rPr>
              <w:t xml:space="preserve">Restriksi pertumbuhan intrauterin.</w:t>
            </w:r>
          </w:p>
        </w:tc>
      </w:tr>
      <w:tr>
        <w:tc>
          <w:tcPr>
            <w:tcW w:type="dxa" w:w="2256"/>
            <w:shd w:fill="FFFFFF" w:val="clear"/>
            <w:tcMar>
              <w:top w:type="dxa" w:w="90"/>
              <w:left w:type="dxa" w:w="100"/>
              <w:bottom w:type="dxa" w:w="90"/>
              <w:right w:type="dxa" w:w="100"/>
            </w:tcMar>
          </w:tcPr>
          <w:p>
            <w:r>
              <w:rPr>
                <w:color w:val="161B2E"/>
                <w:sz w:val="19"/>
                <w:szCs w:val="19"/>
              </w:rPr>
              <w:t xml:space="preserve">26</w:t>
            </w:r>
          </w:p>
        </w:tc>
        <w:tc>
          <w:tcPr>
            <w:tcW w:type="dxa" w:w="2256"/>
            <w:shd w:fill="FFFFFF" w:val="clear"/>
            <w:tcMar>
              <w:top w:type="dxa" w:w="90"/>
              <w:left w:type="dxa" w:w="100"/>
              <w:bottom w:type="dxa" w:w="90"/>
              <w:right w:type="dxa" w:w="100"/>
            </w:tcMar>
          </w:tcPr>
          <w:p>
            <w:r>
              <w:rPr>
                <w:color w:val="161B2E"/>
                <w:sz w:val="19"/>
                <w:szCs w:val="19"/>
              </w:rPr>
              <w:t xml:space="preserve">Hidrops fetalis</w:t>
            </w:r>
          </w:p>
        </w:tc>
        <w:tc>
          <w:tcPr>
            <w:tcW w:type="dxa" w:w="2256"/>
            <w:shd w:fill="FFFFFF" w:val="clear"/>
            <w:tcMar>
              <w:top w:type="dxa" w:w="90"/>
              <w:left w:type="dxa" w:w="100"/>
              <w:bottom w:type="dxa" w:w="90"/>
              <w:right w:type="dxa" w:w="100"/>
            </w:tcMar>
          </w:tcPr>
          <w:p>
            <w:r>
              <w:rPr>
                <w:color w:val="161B2E"/>
                <w:sz w:val="19"/>
                <w:szCs w:val="19"/>
              </w:rPr>
              <w:t xml:space="preserve">P83.2</w:t>
            </w:r>
          </w:p>
        </w:tc>
        <w:tc>
          <w:tcPr>
            <w:tcW w:type="dxa" w:w="2256"/>
            <w:shd w:fill="FFFFFF" w:val="clear"/>
            <w:tcMar>
              <w:top w:type="dxa" w:w="90"/>
              <w:left w:type="dxa" w:w="100"/>
              <w:bottom w:type="dxa" w:w="90"/>
              <w:right w:type="dxa" w:w="100"/>
            </w:tcMar>
          </w:tcPr>
          <w:p>
            <w:r>
              <w:rPr>
                <w:color w:val="161B2E"/>
                <w:sz w:val="19"/>
                <w:szCs w:val="19"/>
              </w:rPr>
              <w:t xml:space="preserve">Akumulasi cairan abnormal pada janin.</w:t>
            </w:r>
          </w:p>
        </w:tc>
      </w:tr>
      <w:tr>
        <w:tc>
          <w:tcPr>
            <w:tcW w:type="dxa" w:w="2256"/>
            <w:shd w:fill="F5F6FA" w:val="clear"/>
            <w:tcMar>
              <w:top w:type="dxa" w:w="90"/>
              <w:left w:type="dxa" w:w="100"/>
              <w:bottom w:type="dxa" w:w="90"/>
              <w:right w:type="dxa" w:w="100"/>
            </w:tcMar>
          </w:tcPr>
          <w:p>
            <w:r>
              <w:rPr>
                <w:color w:val="161B2E"/>
                <w:sz w:val="19"/>
                <w:szCs w:val="19"/>
              </w:rPr>
              <w:t xml:space="preserve">27</w:t>
            </w:r>
          </w:p>
        </w:tc>
        <w:tc>
          <w:tcPr>
            <w:tcW w:type="dxa" w:w="2256"/>
            <w:shd w:fill="F5F6FA" w:val="clear"/>
            <w:tcMar>
              <w:top w:type="dxa" w:w="90"/>
              <w:left w:type="dxa" w:w="100"/>
              <w:bottom w:type="dxa" w:w="90"/>
              <w:right w:type="dxa" w:w="100"/>
            </w:tcMar>
          </w:tcPr>
          <w:p>
            <w:r>
              <w:rPr>
                <w:color w:val="161B2E"/>
                <w:sz w:val="19"/>
                <w:szCs w:val="19"/>
              </w:rPr>
              <w:t xml:space="preserve">Kematian janin intrauterin</w:t>
            </w:r>
          </w:p>
        </w:tc>
        <w:tc>
          <w:tcPr>
            <w:tcW w:type="dxa" w:w="2256"/>
            <w:shd w:fill="F5F6FA" w:val="clear"/>
            <w:tcMar>
              <w:top w:type="dxa" w:w="90"/>
              <w:left w:type="dxa" w:w="100"/>
              <w:bottom w:type="dxa" w:w="90"/>
              <w:right w:type="dxa" w:w="100"/>
            </w:tcMar>
          </w:tcPr>
          <w:p>
            <w:r>
              <w:rPr>
                <w:color w:val="161B2E"/>
                <w:sz w:val="19"/>
                <w:szCs w:val="19"/>
              </w:rPr>
              <w:t xml:space="preserve">O36.4; P95</w:t>
            </w:r>
          </w:p>
        </w:tc>
        <w:tc>
          <w:tcPr>
            <w:tcW w:type="dxa" w:w="2256"/>
            <w:shd w:fill="F5F6FA" w:val="clear"/>
            <w:tcMar>
              <w:top w:type="dxa" w:w="90"/>
              <w:left w:type="dxa" w:w="100"/>
              <w:bottom w:type="dxa" w:w="90"/>
              <w:right w:type="dxa" w:w="100"/>
            </w:tcMar>
          </w:tcPr>
          <w:p>
            <w:r>
              <w:rPr>
                <w:color w:val="161B2E"/>
                <w:sz w:val="19"/>
                <w:szCs w:val="19"/>
              </w:rPr>
              <w:t xml:space="preserve">Janin meninggal dalam kandungan.</w:t>
            </w:r>
          </w:p>
        </w:tc>
      </w:tr>
      <w:tr>
        <w:tc>
          <w:tcPr>
            <w:tcW w:type="dxa" w:w="2256"/>
            <w:shd w:fill="FFFFFF" w:val="clear"/>
            <w:tcMar>
              <w:top w:type="dxa" w:w="90"/>
              <w:left w:type="dxa" w:w="100"/>
              <w:bottom w:type="dxa" w:w="90"/>
              <w:right w:type="dxa" w:w="100"/>
            </w:tcMar>
          </w:tcPr>
          <w:p>
            <w:r>
              <w:rPr>
                <w:color w:val="161B2E"/>
                <w:sz w:val="19"/>
                <w:szCs w:val="19"/>
              </w:rPr>
              <w:t xml:space="preserve">28</w:t>
            </w:r>
          </w:p>
        </w:tc>
        <w:tc>
          <w:tcPr>
            <w:tcW w:type="dxa" w:w="2256"/>
            <w:shd w:fill="FFFFFF" w:val="clear"/>
            <w:tcMar>
              <w:top w:type="dxa" w:w="90"/>
              <w:left w:type="dxa" w:w="100"/>
              <w:bottom w:type="dxa" w:w="90"/>
              <w:right w:type="dxa" w:w="100"/>
            </w:tcMar>
          </w:tcPr>
          <w:p>
            <w:r>
              <w:rPr>
                <w:color w:val="161B2E"/>
                <w:sz w:val="19"/>
                <w:szCs w:val="19"/>
              </w:rPr>
              <w:t xml:space="preserve">Kehamilan multipel tanpa komplikasi</w:t>
            </w:r>
          </w:p>
        </w:tc>
        <w:tc>
          <w:tcPr>
            <w:tcW w:type="dxa" w:w="2256"/>
            <w:shd w:fill="FFFFFF" w:val="clear"/>
            <w:tcMar>
              <w:top w:type="dxa" w:w="90"/>
              <w:left w:type="dxa" w:w="100"/>
              <w:bottom w:type="dxa" w:w="90"/>
              <w:right w:type="dxa" w:w="100"/>
            </w:tcMar>
          </w:tcPr>
          <w:p>
            <w:r>
              <w:rPr>
                <w:color w:val="161B2E"/>
                <w:sz w:val="19"/>
                <w:szCs w:val="19"/>
              </w:rPr>
              <w:t xml:space="preserve">O30.9</w:t>
            </w:r>
          </w:p>
        </w:tc>
        <w:tc>
          <w:tcPr>
            <w:tcW w:type="dxa" w:w="2256"/>
            <w:shd w:fill="FFFFFF" w:val="clear"/>
            <w:tcMar>
              <w:top w:type="dxa" w:w="90"/>
              <w:left w:type="dxa" w:w="100"/>
              <w:bottom w:type="dxa" w:w="90"/>
              <w:right w:type="dxa" w:w="100"/>
            </w:tcMar>
          </w:tcPr>
          <w:p>
            <w:r>
              <w:rPr>
                <w:color w:val="161B2E"/>
                <w:sz w:val="19"/>
                <w:szCs w:val="19"/>
              </w:rPr>
              <w:t xml:space="preserve">Kehamilan ganda; pemantauan intensif.</w:t>
            </w:r>
          </w:p>
        </w:tc>
      </w:tr>
    </w:tbl>
    <w:p>
      <w:pPr>
        <w:spacing w:after="160"/>
      </w:pPr>
    </w:p>
    <w:p>
      <w:pPr>
        <w:pStyle w:val="Heading1"/>
        <w:pBdr>
          <w:bottom w:val="single" w:color="A9812F" w:sz="6" w:space="4"/>
        </w:pBdr>
        <w:spacing w:after="200" w:before="400"/>
      </w:pPr>
      <w:r>
        <w:t xml:space="preserve">BAB III — PENDEKATAN TERHADAP PERDARAHAN OBSTETRI</w:t>
      </w:r>
    </w:p>
    <w:p>
      <w:pPr>
        <w:spacing w:after="160" w:line="300"/>
        <w:jc w:val="both"/>
      </w:pPr>
      <w:r>
        <w:rPr>
          <w:color w:val="161B2E"/>
          <w:sz w:val="22"/>
          <w:szCs w:val="22"/>
        </w:rPr>
        <w:t xml:space="preserve">Perdarahan merupakan penyebab kematian maternal yang dapat dicegah melalui pengenalan dini dan tata laksana sistematis. Dokter Spesialis wajib menguasai pendekatan berjenjang terhadap perdarahan antepartum (plasenta previa, solusio plasenta) dan perdarahan pascapersalinan (atonia uteri, retensio plasenta, robekan jalan lahir), termasuk resusitasi cairan, identifikasi sumber perdarahan secara sistematis, dan eskalasi ke tindakan operatif ketika tata laksana konservatif tidak berhasil.</w:t>
      </w:r>
    </w:p>
    <w:p>
      <w:pPr>
        <w:pStyle w:val="Heading1"/>
        <w:pBdr>
          <w:bottom w:val="single" w:color="A9812F" w:sz="6" w:space="4"/>
        </w:pBdr>
        <w:spacing w:after="200" w:before="400"/>
      </w:pPr>
      <w:r>
        <w:t xml:space="preserve">BAB IV — SPEKTRUM HIPERTENSI DALAM KEHAMILAN</w:t>
      </w:r>
    </w:p>
    <w:p>
      <w:pPr>
        <w:spacing w:after="160" w:line="300"/>
        <w:jc w:val="both"/>
      </w:pPr>
      <w:r>
        <w:rPr>
          <w:color w:val="161B2E"/>
          <w:sz w:val="22"/>
          <w:szCs w:val="22"/>
        </w:rPr>
        <w:t xml:space="preserve">Penguasaan spektrum hipertensi dalam kehamilan — dari hipertensi gestasional, preeklamsia, preeklamsia dengan gejala berat, hingga eklamsia — menuntut kemampuan penapisan tanda bahaya (proteinuria, gejala neurologis, gangguan fungsi organ), tata laksana farmakologis (antihipertensi dan magnesium sulfat untuk pencegahan/tata laksana kejang), serta penentuan waktu dan cara terminasi kehamilan yang tepat berdasarkan keseimbangan risiko maternal dan fetal.</w:t>
      </w:r>
    </w:p>
    <w:p>
      <w:pPr>
        <w:pStyle w:val="Heading1"/>
        <w:pBdr>
          <w:bottom w:val="single" w:color="A9812F" w:sz="6" w:space="4"/>
        </w:pBdr>
        <w:spacing w:after="200" w:before="400"/>
      </w:pPr>
      <w:r>
        <w:t xml:space="preserve">BAB V — DISTOSIA DAN KOMPLIKASI PERSALINAN</w:t>
      </w:r>
    </w:p>
    <w:p>
      <w:pPr>
        <w:spacing w:after="160" w:line="300"/>
        <w:jc w:val="both"/>
      </w:pPr>
      <w:r>
        <w:rPr>
          <w:color w:val="161B2E"/>
          <w:sz w:val="22"/>
          <w:szCs w:val="22"/>
        </w:rPr>
        <w:t xml:space="preserve">Kompetensi ini mencakup pengenalan pola persalinan yang tidak progresif, evaluasi penyebab (faktor janin, jalan lahir, atau kekuatan his), dan pengambilan keputusan antara augmentasi persalinan, persalinan operatif pervaginam, atau seksio sesarea. Pada kehamilan dengan riwayat seksio sesarea sebelumnya, kewaspadaan terhadap tanda ruptur uteri menjadi kompetensi kritis yang membedakan penanganan optimal dari keterlambatan yang fatal.</w:t>
      </w:r>
    </w:p>
    <w:p>
      <w:pPr>
        <w:pStyle w:val="Heading1"/>
        <w:pBdr>
          <w:bottom w:val="single" w:color="A9812F" w:sz="6" w:space="4"/>
        </w:pBdr>
        <w:spacing w:after="200" w:before="400"/>
      </w:pPr>
      <w:r>
        <w:t xml:space="preserve">BAB VI — KEGAWATDARURATAN JANIN</w:t>
      </w:r>
    </w:p>
    <w:p>
      <w:pPr>
        <w:spacing w:after="160" w:line="300"/>
        <w:jc w:val="both"/>
      </w:pPr>
      <w:r>
        <w:rPr>
          <w:color w:val="161B2E"/>
          <w:sz w:val="22"/>
          <w:szCs w:val="22"/>
        </w:rPr>
        <w:t xml:space="preserve">Pengenalan gawat janin melalui interpretasi kardiotokografi dan tanda klinis lain, penanganan janin kecil untuk masa kehamilan, serta pengambilan keputusan terhadap kondisi kehamilan multipel dan hidrops fetalis, menuntut koordinasi erat antara pertimbangan maternal dan fetal, dengan ambang rujukan yang jelas ke Dokter Subspesialis Kedokteran Fetomaternal untuk kasus yang melampaui kompleksitas spesialis umum.</w:t>
      </w:r>
    </w:p>
    <w:p>
      <w:pPr>
        <w:pStyle w:val="Heading1"/>
        <w:pBdr>
          <w:bottom w:val="single" w:color="A9812F" w:sz="6" w:space="4"/>
        </w:pBdr>
        <w:spacing w:after="200" w:before="400"/>
      </w:pPr>
      <w:r>
        <w:t xml:space="preserve">BAB VII — KONTRIBUSI DIVISI OBGINSOS</w:t>
      </w:r>
    </w:p>
    <w:p>
      <w:pPr>
        <w:pStyle w:val="Heading2"/>
        <w:spacing w:after="140" w:before="280"/>
      </w:pPr>
      <w:r>
        <w:t xml:space="preserve">A. Deskripsi</w:t>
      </w:r>
    </w:p>
    <w:p>
      <w:pPr>
        <w:spacing w:after="160" w:line="300"/>
        <w:jc w:val="both"/>
      </w:pPr>
      <w:r>
        <w:rPr>
          <w:color w:val="161B2E"/>
          <w:sz w:val="22"/>
          <w:szCs w:val="22"/>
        </w:rPr>
        <w:t xml:space="preserve">Mortalitas maternal akibat kegawatdaruratan obstetri di Indonesia sering dijelaskan melalui kerangka klasik "Tiga Terlambat": terlambat mengenali tanda bahaya, terlambat memutuskan mencari pertolongan, dan terlambat mencapai atau memperoleh penanganan di fasilitas kesehatan. Ketiga keterlambatan ini hampir selalu berakar pada faktor sosial-ekonomi, bukan semata kegagalan klinis. Sebagai calon Dokter Spesialis, penguasaan Anda atas tata laksana kegawatdaruratan tidak lengkap tanpa memahami rantai keterlambatan yang membawa pasien ke hadapan Anda.</w:t>
      </w:r>
    </w:p>
    <w:p>
      <w:pPr>
        <w:pStyle w:val="Heading2"/>
        <w:spacing w:after="140" w:before="280"/>
      </w:pPr>
      <w:r>
        <w:t xml:space="preserve">B. Kerangka Tiga Terlambat dalam Kegawatdaruratan Maternal</w:t>
      </w:r>
    </w:p>
    <w:p>
      <w:pPr>
        <w:spacing w:after="160" w:line="300"/>
        <w:jc w:val="both"/>
      </w:pPr>
      <w:r>
        <w:rPr>
          <w:color w:val="161B2E"/>
          <w:sz w:val="22"/>
          <w:szCs w:val="22"/>
        </w:rPr>
        <w:t xml:space="preserve">Divisi Obginsos mengajarkan penerapan kerangka Tiga Terlambat sebagai alat analisis rutin pada setiap kasus kegawatdaruratan maternal yang ditangani: Terlambat Pertama (mengenali tanda bahaya) sering terjadi akibat rendahnya literasi kesehatan atau normalisasi gejala berbahaya sebagai "biasa terjadi pada kehamilan"; Terlambat Kedua (memutuskan mencari pertolongan) dipengaruhi oleh otoritas pengambilan keputusan dalam keluarga, biaya, dan kepercayaan terhadap fasilitas kesehatan; dan Terlambat Ketiga (mencapai/memperoleh penanganan) dipengaruhi oleh jarak geografis, ketersediaan transportasi, dan kesiapan fasilitas rujukan. Setiap kasus kegawatdaruratan yang ditangani peserta didik dianjurkan dianalisis melalui ketiga lensa ini sebagai bagian dari refleksi klinis, tidak hanya dari sisi tata laksana medis-teknisnya.</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ibu dari desa terpencil mengalami perdarahan pascapersalinan setelah ditolong dukun beranak, dan baru tiba di RS Pendidikan lebih dari 6 jam setelah kejadian dalam kondisi syok hipovolemik berat. Diskusi kasus yang dibimbing Divisi Obginsos tidak berhenti pada keberhasilan resusitasi dan tindakan operatif penyelamatan, tetapi juga menelusuri: mengapa keluarga memilih dukun beranak (jarak Puskesmas 2 jam, biaya ambulans tidak terjangkau), dan tanda bahaya apa yang seharusnya memicu rujukan lebih dini. Rekomendasi yang dihasilkan mencakup advokasi ke Dinas Kesehatan setempat untuk penguatan sistem rujukan desa, bukan semata evaluasi teknis penanganan di rumah sakit.</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Mengenali dan menatalaksana perdarahan antepartum dan pascapersalinan secara sistematis.</w:t>
      </w:r>
    </w:p>
    <w:p>
      <w:pPr>
        <w:pStyle w:val="ListParagraph"/>
        <w:numPr>
          <w:ilvl w:val="0"/>
          <w:numId w:val="2"/>
        </w:numPr>
        <w:spacing w:after="100" w:line="290"/>
        <w:jc w:val="both"/>
      </w:pPr>
      <w:r>
        <w:rPr>
          <w:color w:val="161B2E"/>
          <w:sz w:val="22"/>
          <w:szCs w:val="22"/>
        </w:rPr>
        <w:t xml:space="preserve">Menguasai spektrum penanganan hipertensi dalam kehamilan hingga eklamsia.</w:t>
      </w:r>
    </w:p>
    <w:p>
      <w:pPr>
        <w:pStyle w:val="ListParagraph"/>
        <w:numPr>
          <w:ilvl w:val="0"/>
          <w:numId w:val="2"/>
        </w:numPr>
        <w:spacing w:after="100" w:line="290"/>
        <w:jc w:val="both"/>
      </w:pPr>
      <w:r>
        <w:rPr>
          <w:color w:val="161B2E"/>
          <w:sz w:val="22"/>
          <w:szCs w:val="22"/>
        </w:rPr>
        <w:t xml:space="preserve">Mengambil keputusan tata laksana distosia dan kewaspadaan ruptur uteri.</w:t>
      </w:r>
    </w:p>
    <w:p>
      <w:pPr>
        <w:pStyle w:val="ListParagraph"/>
        <w:numPr>
          <w:ilvl w:val="0"/>
          <w:numId w:val="2"/>
        </w:numPr>
        <w:spacing w:after="100" w:line="290"/>
        <w:jc w:val="both"/>
      </w:pPr>
      <w:r>
        <w:rPr>
          <w:color w:val="161B2E"/>
          <w:sz w:val="22"/>
          <w:szCs w:val="22"/>
        </w:rPr>
        <w:t xml:space="preserve">Mengenali tanda kegawatdaruratan janin dan menentukan waktu tindakan yang tepat.</w:t>
      </w:r>
    </w:p>
    <w:p>
      <w:pPr>
        <w:pStyle w:val="ListParagraph"/>
        <w:numPr>
          <w:ilvl w:val="0"/>
          <w:numId w:val="2"/>
        </w:numPr>
        <w:spacing w:after="100" w:line="290"/>
        <w:jc w:val="both"/>
      </w:pPr>
      <w:r>
        <w:rPr>
          <w:color w:val="161B2E"/>
          <w:sz w:val="22"/>
          <w:szCs w:val="22"/>
        </w:rPr>
        <w:t xml:space="preserve">Mengetahui ambang rujukan ke Dokter Subspesialis Kedokteran Fetomaternal.</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3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2026-07-13T07:48:42.352Z</dcterms:created>
  <dcterms:modified xsi:type="dcterms:W3CDTF">2026-07-13T07:48:42.353Z</dcterms:modified>
</cp:coreProperties>
</file>

<file path=docProps/custom.xml><?xml version="1.0" encoding="utf-8"?>
<Properties xmlns="http://schemas.openxmlformats.org/officeDocument/2006/custom-properties" xmlns:vt="http://schemas.openxmlformats.org/officeDocument/2006/docPropsVTypes"/>
</file>