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4 DARI 15 — SERI BUKU AJAR INTI KOMPETENSI DOKTER SPESIALIS OBSTETRI DAN GINEKOLOGI (SPOG)</w:t>
      </w:r>
    </w:p>
    <w:p>
      <w:pPr>
        <w:spacing w:after="500"/>
        <w:jc w:val="center"/>
      </w:pPr>
      <w:r>
        <w:rPr>
          <w:b/>
          <w:bCs/>
          <w:color w:val="1C2749"/>
          <w:sz w:val="40"/>
          <w:szCs w:val="40"/>
        </w:rPr>
        <w:t xml:space="preserve">Kehamilan dengan Penyakit Penyerta (Komorbiditas Medis dan Infeksi)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membahas penanganan kehamilan pada ibu dengan kondisi medis penyerta atau infeksi sistemik yang memerlukan pendekatan interdisipliner. Kompetensi ini menuntut Dokter Spesialis mampu menyeimbangkan tata laksana kondisi medis ibu dengan keselamatan janin, serta mengetahui kapan diperlukan kolaborasi dengan disiplin lain (penyakit dalam, penyakit infeksi, hematologi).</w:t>
      </w:r>
    </w:p>
    <w:p>
      <w:pPr>
        <w:pStyle w:val="Heading1"/>
        <w:pBdr>
          <w:bottom w:val="single" w:color="A9812F" w:sz="6" w:space="4"/>
        </w:pBdr>
        <w:spacing w:after="200" w:before="400"/>
      </w:pPr>
      <w:r>
        <w:t xml:space="preserve">BAB II — RUANG LINGKUP KONDISI KLINIS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2C3A64" w:val="clear"/>
            <w:tcMar>
              <w:top w:type="dxa" w:w="100"/>
              <w:left w:type="dxa" w:w="100"/>
              <w:bottom w:type="dxa" w:w="100"/>
              <w:right w:type="dxa" w:w="100"/>
            </w:tcMar>
          </w:tcPr>
          <w:p>
            <w:r>
              <w:rPr>
                <w:b/>
                <w:bCs/>
                <w:color w:val="FFFFFF"/>
                <w:sz w:val="19"/>
                <w:szCs w:val="19"/>
              </w:rPr>
              <w:t xml:space="preserve">No.</w:t>
            </w:r>
          </w:p>
        </w:tc>
        <w:tc>
          <w:tcPr>
            <w:tcW w:type="dxa" w:w="2256"/>
            <w:shd w:fill="2C3A64" w:val="clear"/>
            <w:tcMar>
              <w:top w:type="dxa" w:w="100"/>
              <w:left w:type="dxa" w:w="100"/>
              <w:bottom w:type="dxa" w:w="100"/>
              <w:right w:type="dxa" w:w="100"/>
            </w:tcMar>
          </w:tcPr>
          <w:p>
            <w:r>
              <w:rPr>
                <w:b/>
                <w:bCs/>
                <w:color w:val="FFFFFF"/>
                <w:sz w:val="19"/>
                <w:szCs w:val="19"/>
              </w:rPr>
              <w:t xml:space="preserve">Kondisi</w:t>
            </w:r>
          </w:p>
        </w:tc>
        <w:tc>
          <w:tcPr>
            <w:tcW w:type="dxa" w:w="2256"/>
            <w:shd w:fill="2C3A64" w:val="clear"/>
            <w:tcMar>
              <w:top w:type="dxa" w:w="100"/>
              <w:left w:type="dxa" w:w="100"/>
              <w:bottom w:type="dxa" w:w="100"/>
              <w:right w:type="dxa" w:w="100"/>
            </w:tcMar>
          </w:tcPr>
          <w:p>
            <w:r>
              <w:rPr>
                <w:b/>
                <w:bCs/>
                <w:color w:val="FFFFFF"/>
                <w:sz w:val="19"/>
                <w:szCs w:val="19"/>
              </w:rPr>
              <w:t xml:space="preserve">ICD-10</w:t>
            </w:r>
          </w:p>
        </w:tc>
        <w:tc>
          <w:tcPr>
            <w:tcW w:type="dxa" w:w="2256"/>
            <w:shd w:fill="2C3A64" w:val="clear"/>
            <w:tcMar>
              <w:top w:type="dxa" w:w="100"/>
              <w:left w:type="dxa" w:w="100"/>
              <w:bottom w:type="dxa" w:w="100"/>
              <w:right w:type="dxa" w:w="100"/>
            </w:tcMar>
          </w:tcPr>
          <w:p>
            <w:r>
              <w:rPr>
                <w:b/>
                <w:bCs/>
                <w:color w:val="FFFFFF"/>
                <w:sz w:val="19"/>
                <w:szCs w:val="19"/>
              </w:rPr>
              <w:t xml:space="preserve">Catatan Klinis</w:t>
            </w:r>
          </w:p>
        </w:tc>
      </w:tr>
      <w:tr>
        <w:tc>
          <w:tcPr>
            <w:tcW w:type="dxa" w:w="2256"/>
            <w:shd w:fill="F5F6FA" w:val="clear"/>
            <w:tcMar>
              <w:top w:type="dxa" w:w="90"/>
              <w:left w:type="dxa" w:w="100"/>
              <w:bottom w:type="dxa" w:w="90"/>
              <w:right w:type="dxa" w:w="100"/>
            </w:tcMar>
          </w:tcPr>
          <w:p>
            <w:r>
              <w:rPr>
                <w:color w:val="161B2E"/>
                <w:sz w:val="19"/>
                <w:szCs w:val="19"/>
              </w:rPr>
              <w:t xml:space="preserve">29</w:t>
            </w:r>
          </w:p>
        </w:tc>
        <w:tc>
          <w:tcPr>
            <w:tcW w:type="dxa" w:w="2256"/>
            <w:shd w:fill="F5F6FA" w:val="clear"/>
            <w:tcMar>
              <w:top w:type="dxa" w:w="90"/>
              <w:left w:type="dxa" w:w="100"/>
              <w:bottom w:type="dxa" w:w="90"/>
              <w:right w:type="dxa" w:w="100"/>
            </w:tcMar>
          </w:tcPr>
          <w:p>
            <w:r>
              <w:rPr>
                <w:color w:val="161B2E"/>
                <w:sz w:val="19"/>
                <w:szCs w:val="19"/>
              </w:rPr>
              <w:t xml:space="preserve">Kehamilan dengan obesitas</w:t>
            </w:r>
          </w:p>
        </w:tc>
        <w:tc>
          <w:tcPr>
            <w:tcW w:type="dxa" w:w="2256"/>
            <w:shd w:fill="F5F6FA" w:val="clear"/>
            <w:tcMar>
              <w:top w:type="dxa" w:w="90"/>
              <w:left w:type="dxa" w:w="100"/>
              <w:bottom w:type="dxa" w:w="90"/>
              <w:right w:type="dxa" w:w="100"/>
            </w:tcMar>
          </w:tcPr>
          <w:p>
            <w:r>
              <w:rPr>
                <w:color w:val="161B2E"/>
                <w:sz w:val="19"/>
                <w:szCs w:val="19"/>
              </w:rPr>
              <w:t xml:space="preserve">O99.8 &amp; E66</w:t>
            </w:r>
          </w:p>
        </w:tc>
        <w:tc>
          <w:tcPr>
            <w:tcW w:type="dxa" w:w="2256"/>
            <w:shd w:fill="F5F6FA" w:val="clear"/>
            <w:tcMar>
              <w:top w:type="dxa" w:w="90"/>
              <w:left w:type="dxa" w:w="100"/>
              <w:bottom w:type="dxa" w:w="90"/>
              <w:right w:type="dxa" w:w="100"/>
            </w:tcMar>
          </w:tcPr>
          <w:p>
            <w:r>
              <w:rPr>
                <w:color w:val="161B2E"/>
                <w:sz w:val="19"/>
                <w:szCs w:val="19"/>
              </w:rPr>
              <w:t xml:space="preserve">Faktor risiko komplikasi maternal-fetal multipel.</w:t>
            </w:r>
          </w:p>
        </w:tc>
      </w:tr>
      <w:tr>
        <w:tc>
          <w:tcPr>
            <w:tcW w:type="dxa" w:w="2256"/>
            <w:shd w:fill="FFFFFF" w:val="clear"/>
            <w:tcMar>
              <w:top w:type="dxa" w:w="90"/>
              <w:left w:type="dxa" w:w="100"/>
              <w:bottom w:type="dxa" w:w="90"/>
              <w:right w:type="dxa" w:w="100"/>
            </w:tcMar>
          </w:tcPr>
          <w:p>
            <w:r>
              <w:rPr>
                <w:color w:val="161B2E"/>
                <w:sz w:val="19"/>
                <w:szCs w:val="19"/>
              </w:rPr>
              <w:t xml:space="preserve">30</w:t>
            </w:r>
          </w:p>
        </w:tc>
        <w:tc>
          <w:tcPr>
            <w:tcW w:type="dxa" w:w="2256"/>
            <w:shd w:fill="FFFFFF" w:val="clear"/>
            <w:tcMar>
              <w:top w:type="dxa" w:w="90"/>
              <w:left w:type="dxa" w:w="100"/>
              <w:bottom w:type="dxa" w:w="90"/>
              <w:right w:type="dxa" w:w="100"/>
            </w:tcMar>
          </w:tcPr>
          <w:p>
            <w:r>
              <w:rPr>
                <w:color w:val="161B2E"/>
                <w:sz w:val="19"/>
                <w:szCs w:val="19"/>
              </w:rPr>
              <w:t xml:space="preserve">Kehamilan dengan infeksi saluran kemih</w:t>
            </w:r>
          </w:p>
        </w:tc>
        <w:tc>
          <w:tcPr>
            <w:tcW w:type="dxa" w:w="2256"/>
            <w:shd w:fill="FFFFFF" w:val="clear"/>
            <w:tcMar>
              <w:top w:type="dxa" w:w="90"/>
              <w:left w:type="dxa" w:w="100"/>
              <w:bottom w:type="dxa" w:w="90"/>
              <w:right w:type="dxa" w:w="100"/>
            </w:tcMar>
          </w:tcPr>
          <w:p>
            <w:r>
              <w:rPr>
                <w:color w:val="161B2E"/>
                <w:sz w:val="19"/>
                <w:szCs w:val="19"/>
              </w:rPr>
              <w:t xml:space="preserve">O23.4</w:t>
            </w:r>
          </w:p>
        </w:tc>
        <w:tc>
          <w:tcPr>
            <w:tcW w:type="dxa" w:w="2256"/>
            <w:shd w:fill="FFFFFF" w:val="clear"/>
            <w:tcMar>
              <w:top w:type="dxa" w:w="90"/>
              <w:left w:type="dxa" w:w="100"/>
              <w:bottom w:type="dxa" w:w="90"/>
              <w:right w:type="dxa" w:w="100"/>
            </w:tcMar>
          </w:tcPr>
          <w:p>
            <w:r>
              <w:rPr>
                <w:color w:val="161B2E"/>
                <w:sz w:val="19"/>
                <w:szCs w:val="19"/>
              </w:rPr>
              <w:t xml:space="preserve">Perlu tata laksana adekuat untuk mencegah pielonefritis dan persalinan preterm.</w:t>
            </w:r>
          </w:p>
        </w:tc>
      </w:tr>
      <w:tr>
        <w:tc>
          <w:tcPr>
            <w:tcW w:type="dxa" w:w="2256"/>
            <w:shd w:fill="F5F6FA" w:val="clear"/>
            <w:tcMar>
              <w:top w:type="dxa" w:w="90"/>
              <w:left w:type="dxa" w:w="100"/>
              <w:bottom w:type="dxa" w:w="90"/>
              <w:right w:type="dxa" w:w="100"/>
            </w:tcMar>
          </w:tcPr>
          <w:p>
            <w:r>
              <w:rPr>
                <w:color w:val="161B2E"/>
                <w:sz w:val="19"/>
                <w:szCs w:val="19"/>
              </w:rPr>
              <w:t xml:space="preserve">31</w:t>
            </w:r>
          </w:p>
        </w:tc>
        <w:tc>
          <w:tcPr>
            <w:tcW w:type="dxa" w:w="2256"/>
            <w:shd w:fill="F5F6FA" w:val="clear"/>
            <w:tcMar>
              <w:top w:type="dxa" w:w="90"/>
              <w:left w:type="dxa" w:w="100"/>
              <w:bottom w:type="dxa" w:w="90"/>
              <w:right w:type="dxa" w:w="100"/>
            </w:tcMar>
          </w:tcPr>
          <w:p>
            <w:r>
              <w:rPr>
                <w:color w:val="161B2E"/>
                <w:sz w:val="19"/>
                <w:szCs w:val="19"/>
              </w:rPr>
              <w:t xml:space="preserve">Kehamilan dengan anemia</w:t>
            </w:r>
          </w:p>
        </w:tc>
        <w:tc>
          <w:tcPr>
            <w:tcW w:type="dxa" w:w="2256"/>
            <w:shd w:fill="F5F6FA" w:val="clear"/>
            <w:tcMar>
              <w:top w:type="dxa" w:w="90"/>
              <w:left w:type="dxa" w:w="100"/>
              <w:bottom w:type="dxa" w:w="90"/>
              <w:right w:type="dxa" w:w="100"/>
            </w:tcMar>
          </w:tcPr>
          <w:p>
            <w:r>
              <w:rPr>
                <w:color w:val="161B2E"/>
                <w:sz w:val="19"/>
                <w:szCs w:val="19"/>
              </w:rPr>
              <w:t xml:space="preserve">O99.0</w:t>
            </w:r>
          </w:p>
        </w:tc>
        <w:tc>
          <w:tcPr>
            <w:tcW w:type="dxa" w:w="2256"/>
            <w:shd w:fill="F5F6FA" w:val="clear"/>
            <w:tcMar>
              <w:top w:type="dxa" w:w="90"/>
              <w:left w:type="dxa" w:w="100"/>
              <w:bottom w:type="dxa" w:w="90"/>
              <w:right w:type="dxa" w:w="100"/>
            </w:tcMar>
          </w:tcPr>
          <w:p>
            <w:r>
              <w:rPr>
                <w:color w:val="161B2E"/>
                <w:sz w:val="19"/>
                <w:szCs w:val="19"/>
              </w:rPr>
              <w:t xml:space="preserve">Umumnya anemia defisiensi besi.</w:t>
            </w:r>
          </w:p>
        </w:tc>
      </w:tr>
      <w:tr>
        <w:tc>
          <w:tcPr>
            <w:tcW w:type="dxa" w:w="2256"/>
            <w:shd w:fill="FFFFFF" w:val="clear"/>
            <w:tcMar>
              <w:top w:type="dxa" w:w="90"/>
              <w:left w:type="dxa" w:w="100"/>
              <w:bottom w:type="dxa" w:w="90"/>
              <w:right w:type="dxa" w:w="100"/>
            </w:tcMar>
          </w:tcPr>
          <w:p>
            <w:r>
              <w:rPr>
                <w:color w:val="161B2E"/>
                <w:sz w:val="19"/>
                <w:szCs w:val="19"/>
              </w:rPr>
              <w:t xml:space="preserve">32</w:t>
            </w:r>
          </w:p>
        </w:tc>
        <w:tc>
          <w:tcPr>
            <w:tcW w:type="dxa" w:w="2256"/>
            <w:shd w:fill="FFFFFF" w:val="clear"/>
            <w:tcMar>
              <w:top w:type="dxa" w:w="90"/>
              <w:left w:type="dxa" w:w="100"/>
              <w:bottom w:type="dxa" w:w="90"/>
              <w:right w:type="dxa" w:w="100"/>
            </w:tcMar>
          </w:tcPr>
          <w:p>
            <w:r>
              <w:rPr>
                <w:color w:val="161B2E"/>
                <w:sz w:val="19"/>
                <w:szCs w:val="19"/>
              </w:rPr>
              <w:t xml:space="preserve">Kehamilan dengan kelainan hematologi</w:t>
            </w:r>
          </w:p>
        </w:tc>
        <w:tc>
          <w:tcPr>
            <w:tcW w:type="dxa" w:w="2256"/>
            <w:shd w:fill="FFFFFF" w:val="clear"/>
            <w:tcMar>
              <w:top w:type="dxa" w:w="90"/>
              <w:left w:type="dxa" w:w="100"/>
              <w:bottom w:type="dxa" w:w="90"/>
              <w:right w:type="dxa" w:w="100"/>
            </w:tcMar>
          </w:tcPr>
          <w:p>
            <w:r>
              <w:rPr>
                <w:color w:val="161B2E"/>
                <w:sz w:val="19"/>
                <w:szCs w:val="19"/>
              </w:rPr>
              <w:t xml:space="preserve">O99.1</w:t>
            </w:r>
          </w:p>
        </w:tc>
        <w:tc>
          <w:tcPr>
            <w:tcW w:type="dxa" w:w="2256"/>
            <w:shd w:fill="FFFFFF" w:val="clear"/>
            <w:tcMar>
              <w:top w:type="dxa" w:w="90"/>
              <w:left w:type="dxa" w:w="100"/>
              <w:bottom w:type="dxa" w:w="90"/>
              <w:right w:type="dxa" w:w="100"/>
            </w:tcMar>
          </w:tcPr>
          <w:p>
            <w:r>
              <w:rPr>
                <w:color w:val="161B2E"/>
                <w:sz w:val="19"/>
                <w:szCs w:val="19"/>
              </w:rPr>
              <w:t xml:space="preserve">Risiko komplikasi obstetri terkait gangguan darah.</w:t>
            </w:r>
          </w:p>
        </w:tc>
      </w:tr>
      <w:tr>
        <w:tc>
          <w:tcPr>
            <w:tcW w:type="dxa" w:w="2256"/>
            <w:shd w:fill="F5F6FA" w:val="clear"/>
            <w:tcMar>
              <w:top w:type="dxa" w:w="90"/>
              <w:left w:type="dxa" w:w="100"/>
              <w:bottom w:type="dxa" w:w="90"/>
              <w:right w:type="dxa" w:w="100"/>
            </w:tcMar>
          </w:tcPr>
          <w:p>
            <w:r>
              <w:rPr>
                <w:color w:val="161B2E"/>
                <w:sz w:val="19"/>
                <w:szCs w:val="19"/>
              </w:rPr>
              <w:t xml:space="preserve">33</w:t>
            </w:r>
          </w:p>
        </w:tc>
        <w:tc>
          <w:tcPr>
            <w:tcW w:type="dxa" w:w="2256"/>
            <w:shd w:fill="F5F6FA" w:val="clear"/>
            <w:tcMar>
              <w:top w:type="dxa" w:w="90"/>
              <w:left w:type="dxa" w:w="100"/>
              <w:bottom w:type="dxa" w:w="90"/>
              <w:right w:type="dxa" w:w="100"/>
            </w:tcMar>
          </w:tcPr>
          <w:p>
            <w:r>
              <w:rPr>
                <w:color w:val="161B2E"/>
                <w:sz w:val="19"/>
                <w:szCs w:val="19"/>
              </w:rPr>
              <w:t xml:space="preserve">Kehamilan dengan diabetes tanpa komplikasi</w:t>
            </w:r>
          </w:p>
        </w:tc>
        <w:tc>
          <w:tcPr>
            <w:tcW w:type="dxa" w:w="2256"/>
            <w:shd w:fill="F5F6FA" w:val="clear"/>
            <w:tcMar>
              <w:top w:type="dxa" w:w="90"/>
              <w:left w:type="dxa" w:w="100"/>
              <w:bottom w:type="dxa" w:w="90"/>
              <w:right w:type="dxa" w:w="100"/>
            </w:tcMar>
          </w:tcPr>
          <w:p>
            <w:r>
              <w:rPr>
                <w:color w:val="161B2E"/>
                <w:sz w:val="19"/>
                <w:szCs w:val="19"/>
              </w:rPr>
              <w:t xml:space="preserve">O24.4</w:t>
            </w:r>
          </w:p>
        </w:tc>
        <w:tc>
          <w:tcPr>
            <w:tcW w:type="dxa" w:w="2256"/>
            <w:shd w:fill="F5F6FA" w:val="clear"/>
            <w:tcMar>
              <w:top w:type="dxa" w:w="90"/>
              <w:left w:type="dxa" w:w="100"/>
              <w:bottom w:type="dxa" w:w="90"/>
              <w:right w:type="dxa" w:w="100"/>
            </w:tcMar>
          </w:tcPr>
          <w:p>
            <w:r>
              <w:rPr>
                <w:color w:val="161B2E"/>
                <w:sz w:val="19"/>
                <w:szCs w:val="19"/>
              </w:rPr>
              <w:t xml:space="preserve">Hiperglikemia gestasional, perlu kontrol gula darah ketat.</w:t>
            </w:r>
          </w:p>
        </w:tc>
      </w:tr>
      <w:tr>
        <w:tc>
          <w:tcPr>
            <w:tcW w:type="dxa" w:w="2256"/>
            <w:shd w:fill="FFFFFF" w:val="clear"/>
            <w:tcMar>
              <w:top w:type="dxa" w:w="90"/>
              <w:left w:type="dxa" w:w="100"/>
              <w:bottom w:type="dxa" w:w="90"/>
              <w:right w:type="dxa" w:w="100"/>
            </w:tcMar>
          </w:tcPr>
          <w:p>
            <w:r>
              <w:rPr>
                <w:color w:val="161B2E"/>
                <w:sz w:val="19"/>
                <w:szCs w:val="19"/>
              </w:rPr>
              <w:t xml:space="preserve">34</w:t>
            </w:r>
          </w:p>
        </w:tc>
        <w:tc>
          <w:tcPr>
            <w:tcW w:type="dxa" w:w="2256"/>
            <w:shd w:fill="FFFFFF" w:val="clear"/>
            <w:tcMar>
              <w:top w:type="dxa" w:w="90"/>
              <w:left w:type="dxa" w:w="100"/>
              <w:bottom w:type="dxa" w:w="90"/>
              <w:right w:type="dxa" w:w="100"/>
            </w:tcMar>
          </w:tcPr>
          <w:p>
            <w:r>
              <w:rPr>
                <w:color w:val="161B2E"/>
                <w:sz w:val="19"/>
                <w:szCs w:val="19"/>
              </w:rPr>
              <w:t xml:space="preserve">Kehamilan dengan infeksi dengue tanpa komplikasi</w:t>
            </w:r>
          </w:p>
        </w:tc>
        <w:tc>
          <w:tcPr>
            <w:tcW w:type="dxa" w:w="2256"/>
            <w:shd w:fill="FFFFFF" w:val="clear"/>
            <w:tcMar>
              <w:top w:type="dxa" w:w="90"/>
              <w:left w:type="dxa" w:w="100"/>
              <w:bottom w:type="dxa" w:w="90"/>
              <w:right w:type="dxa" w:w="100"/>
            </w:tcMar>
          </w:tcPr>
          <w:p>
            <w:r>
              <w:rPr>
                <w:color w:val="161B2E"/>
                <w:sz w:val="19"/>
                <w:szCs w:val="19"/>
              </w:rPr>
              <w:t xml:space="preserve">O98.5 &amp; A90</w:t>
            </w:r>
          </w:p>
        </w:tc>
        <w:tc>
          <w:tcPr>
            <w:tcW w:type="dxa" w:w="2256"/>
            <w:shd w:fill="FFFFFF" w:val="clear"/>
            <w:tcMar>
              <w:top w:type="dxa" w:w="90"/>
              <w:left w:type="dxa" w:w="100"/>
              <w:bottom w:type="dxa" w:w="90"/>
              <w:right w:type="dxa" w:w="100"/>
            </w:tcMar>
          </w:tcPr>
          <w:p>
            <w:r>
              <w:rPr>
                <w:color w:val="161B2E"/>
                <w:sz w:val="19"/>
                <w:szCs w:val="19"/>
              </w:rPr>
              <w:t xml:space="preserve">Risiko perdarahan maternal-fetal.</w:t>
            </w:r>
          </w:p>
        </w:tc>
      </w:tr>
      <w:tr>
        <w:tc>
          <w:tcPr>
            <w:tcW w:type="dxa" w:w="2256"/>
            <w:shd w:fill="F5F6FA" w:val="clear"/>
            <w:tcMar>
              <w:top w:type="dxa" w:w="90"/>
              <w:left w:type="dxa" w:w="100"/>
              <w:bottom w:type="dxa" w:w="90"/>
              <w:right w:type="dxa" w:w="100"/>
            </w:tcMar>
          </w:tcPr>
          <w:p>
            <w:r>
              <w:rPr>
                <w:color w:val="161B2E"/>
                <w:sz w:val="19"/>
                <w:szCs w:val="19"/>
              </w:rPr>
              <w:t xml:space="preserve">35</w:t>
            </w:r>
          </w:p>
        </w:tc>
        <w:tc>
          <w:tcPr>
            <w:tcW w:type="dxa" w:w="2256"/>
            <w:shd w:fill="F5F6FA" w:val="clear"/>
            <w:tcMar>
              <w:top w:type="dxa" w:w="90"/>
              <w:left w:type="dxa" w:w="100"/>
              <w:bottom w:type="dxa" w:w="90"/>
              <w:right w:type="dxa" w:w="100"/>
            </w:tcMar>
          </w:tcPr>
          <w:p>
            <w:r>
              <w:rPr>
                <w:color w:val="161B2E"/>
                <w:sz w:val="19"/>
                <w:szCs w:val="19"/>
              </w:rPr>
              <w:t xml:space="preserve">Kehamilan dengan infeksi malaria tanpa komplikasi</w:t>
            </w:r>
          </w:p>
        </w:tc>
        <w:tc>
          <w:tcPr>
            <w:tcW w:type="dxa" w:w="2256"/>
            <w:shd w:fill="F5F6FA" w:val="clear"/>
            <w:tcMar>
              <w:top w:type="dxa" w:w="90"/>
              <w:left w:type="dxa" w:w="100"/>
              <w:bottom w:type="dxa" w:w="90"/>
              <w:right w:type="dxa" w:w="100"/>
            </w:tcMar>
          </w:tcPr>
          <w:p>
            <w:r>
              <w:rPr>
                <w:color w:val="161B2E"/>
                <w:sz w:val="19"/>
                <w:szCs w:val="19"/>
              </w:rPr>
              <w:t xml:space="preserve">O98.6 &amp; B54</w:t>
            </w:r>
          </w:p>
        </w:tc>
        <w:tc>
          <w:tcPr>
            <w:tcW w:type="dxa" w:w="2256"/>
            <w:shd w:fill="F5F6FA" w:val="clear"/>
            <w:tcMar>
              <w:top w:type="dxa" w:w="90"/>
              <w:left w:type="dxa" w:w="100"/>
              <w:bottom w:type="dxa" w:w="90"/>
              <w:right w:type="dxa" w:w="100"/>
            </w:tcMar>
          </w:tcPr>
          <w:p>
            <w:r>
              <w:rPr>
                <w:color w:val="161B2E"/>
                <w:sz w:val="19"/>
                <w:szCs w:val="19"/>
              </w:rPr>
              <w:t xml:space="preserve">Relevan pada wilayah endemis.</w:t>
            </w:r>
          </w:p>
        </w:tc>
      </w:tr>
      <w:tr>
        <w:tc>
          <w:tcPr>
            <w:tcW w:type="dxa" w:w="2256"/>
            <w:shd w:fill="FFFFFF" w:val="clear"/>
            <w:tcMar>
              <w:top w:type="dxa" w:w="90"/>
              <w:left w:type="dxa" w:w="100"/>
              <w:bottom w:type="dxa" w:w="90"/>
              <w:right w:type="dxa" w:w="100"/>
            </w:tcMar>
          </w:tcPr>
          <w:p>
            <w:r>
              <w:rPr>
                <w:color w:val="161B2E"/>
                <w:sz w:val="19"/>
                <w:szCs w:val="19"/>
              </w:rPr>
              <w:t xml:space="preserve">36</w:t>
            </w:r>
          </w:p>
        </w:tc>
        <w:tc>
          <w:tcPr>
            <w:tcW w:type="dxa" w:w="2256"/>
            <w:shd w:fill="FFFFFF" w:val="clear"/>
            <w:tcMar>
              <w:top w:type="dxa" w:w="90"/>
              <w:left w:type="dxa" w:w="100"/>
              <w:bottom w:type="dxa" w:w="90"/>
              <w:right w:type="dxa" w:w="100"/>
            </w:tcMar>
          </w:tcPr>
          <w:p>
            <w:r>
              <w:rPr>
                <w:color w:val="161B2E"/>
                <w:sz w:val="19"/>
                <w:szCs w:val="19"/>
              </w:rPr>
              <w:t xml:space="preserve">Kehamilan dengan HIV/AIDS tanpa komplikasi</w:t>
            </w:r>
          </w:p>
        </w:tc>
        <w:tc>
          <w:tcPr>
            <w:tcW w:type="dxa" w:w="2256"/>
            <w:shd w:fill="FFFFFF" w:val="clear"/>
            <w:tcMar>
              <w:top w:type="dxa" w:w="90"/>
              <w:left w:type="dxa" w:w="100"/>
              <w:bottom w:type="dxa" w:w="90"/>
              <w:right w:type="dxa" w:w="100"/>
            </w:tcMar>
          </w:tcPr>
          <w:p>
            <w:r>
              <w:rPr>
                <w:color w:val="161B2E"/>
                <w:sz w:val="19"/>
                <w:szCs w:val="19"/>
              </w:rPr>
              <w:t xml:space="preserve">B20–B24</w:t>
            </w:r>
          </w:p>
        </w:tc>
        <w:tc>
          <w:tcPr>
            <w:tcW w:type="dxa" w:w="2256"/>
            <w:shd w:fill="FFFFFF" w:val="clear"/>
            <w:tcMar>
              <w:top w:type="dxa" w:w="90"/>
              <w:left w:type="dxa" w:w="100"/>
              <w:bottom w:type="dxa" w:w="90"/>
              <w:right w:type="dxa" w:w="100"/>
            </w:tcMar>
          </w:tcPr>
          <w:p>
            <w:r>
              <w:rPr>
                <w:color w:val="161B2E"/>
                <w:sz w:val="19"/>
                <w:szCs w:val="19"/>
              </w:rPr>
              <w:t xml:space="preserve">Memerlukan pencegahan penularan ibu ke anak (PPIA).</w:t>
            </w:r>
          </w:p>
        </w:tc>
      </w:tr>
      <w:tr>
        <w:tc>
          <w:tcPr>
            <w:tcW w:type="dxa" w:w="2256"/>
            <w:shd w:fill="F5F6FA" w:val="clear"/>
            <w:tcMar>
              <w:top w:type="dxa" w:w="90"/>
              <w:left w:type="dxa" w:w="100"/>
              <w:bottom w:type="dxa" w:w="90"/>
              <w:right w:type="dxa" w:w="100"/>
            </w:tcMar>
          </w:tcPr>
          <w:p>
            <w:r>
              <w:rPr>
                <w:color w:val="161B2E"/>
                <w:sz w:val="19"/>
                <w:szCs w:val="19"/>
              </w:rPr>
              <w:t xml:space="preserve">37</w:t>
            </w:r>
          </w:p>
        </w:tc>
        <w:tc>
          <w:tcPr>
            <w:tcW w:type="dxa" w:w="2256"/>
            <w:shd w:fill="F5F6FA" w:val="clear"/>
            <w:tcMar>
              <w:top w:type="dxa" w:w="90"/>
              <w:left w:type="dxa" w:w="100"/>
              <w:bottom w:type="dxa" w:w="90"/>
              <w:right w:type="dxa" w:w="100"/>
            </w:tcMar>
          </w:tcPr>
          <w:p>
            <w:r>
              <w:rPr>
                <w:color w:val="161B2E"/>
                <w:sz w:val="19"/>
                <w:szCs w:val="19"/>
              </w:rPr>
              <w:t xml:space="preserve">Kehamilan dengan duh vagina</w:t>
            </w:r>
          </w:p>
        </w:tc>
        <w:tc>
          <w:tcPr>
            <w:tcW w:type="dxa" w:w="2256"/>
            <w:shd w:fill="F5F6FA" w:val="clear"/>
            <w:tcMar>
              <w:top w:type="dxa" w:w="90"/>
              <w:left w:type="dxa" w:w="100"/>
              <w:bottom w:type="dxa" w:w="90"/>
              <w:right w:type="dxa" w:w="100"/>
            </w:tcMar>
          </w:tcPr>
          <w:p>
            <w:r>
              <w:rPr>
                <w:color w:val="161B2E"/>
                <w:sz w:val="19"/>
                <w:szCs w:val="19"/>
              </w:rPr>
              <w:t xml:space="preserve">O26.8; O23.5</w:t>
            </w:r>
          </w:p>
        </w:tc>
        <w:tc>
          <w:tcPr>
            <w:tcW w:type="dxa" w:w="2256"/>
            <w:shd w:fill="F5F6FA" w:val="clear"/>
            <w:tcMar>
              <w:top w:type="dxa" w:w="90"/>
              <w:left w:type="dxa" w:w="100"/>
              <w:bottom w:type="dxa" w:w="90"/>
              <w:right w:type="dxa" w:w="100"/>
            </w:tcMar>
          </w:tcPr>
          <w:p>
            <w:r>
              <w:rPr>
                <w:color w:val="161B2E"/>
                <w:sz w:val="19"/>
                <w:szCs w:val="19"/>
              </w:rPr>
              <w:t xml:space="preserve">Evaluasi infeksi penyerta yang dapat memengaruhi kehamilan.</w:t>
            </w:r>
          </w:p>
        </w:tc>
      </w:tr>
    </w:tbl>
    <w:p>
      <w:pPr>
        <w:spacing w:after="160"/>
      </w:pPr>
    </w:p>
    <w:p>
      <w:pPr>
        <w:pStyle w:val="Heading1"/>
        <w:pBdr>
          <w:bottom w:val="single" w:color="A9812F" w:sz="6" w:space="4"/>
        </w:pBdr>
        <w:spacing w:after="200" w:before="400"/>
      </w:pPr>
      <w:r>
        <w:t xml:space="preserve">BAB III — KEHAMILAN DENGAN OBESITAS DAN GANGGUAN METABOLIK</w:t>
      </w:r>
    </w:p>
    <w:p>
      <w:pPr>
        <w:spacing w:after="160" w:line="300"/>
        <w:jc w:val="both"/>
      </w:pPr>
      <w:r>
        <w:rPr>
          <w:color w:val="161B2E"/>
          <w:sz w:val="22"/>
          <w:szCs w:val="22"/>
        </w:rPr>
        <w:t xml:space="preserve">Obesitas dalam kehamilan meningkatkan risiko preeklamsia, diabetes gestasional, makrosomia, dan komplikasi persalinan. Tata laksana meliputi konseling nutrisi dan aktivitas fisik yang aman, pemantauan pertumbuhan janin lebih ketat, serta kewaspadaan tambahan terhadap risiko anestesi dan operatif apabila diperlukan tindakan seksio sesarea. Kehamilan dengan diabetes gestasional memerlukan pemantauan glukosa terstruktur, edukasi diet, dan penentuan kebutuhan terapi insulin bersama disiplin penyakit dalam bila diperlukan.</w:t>
      </w:r>
    </w:p>
    <w:p>
      <w:pPr>
        <w:pStyle w:val="Heading1"/>
        <w:pBdr>
          <w:bottom w:val="single" w:color="A9812F" w:sz="6" w:space="4"/>
        </w:pBdr>
        <w:spacing w:after="200" w:before="400"/>
      </w:pPr>
      <w:r>
        <w:t xml:space="preserve">BAB IV — KEHAMILAN DENGAN INFEKSI DAN GANGGUAN HEMATOLOGI</w:t>
      </w:r>
    </w:p>
    <w:p>
      <w:pPr>
        <w:spacing w:after="160" w:line="300"/>
        <w:jc w:val="both"/>
      </w:pPr>
      <w:r>
        <w:rPr>
          <w:color w:val="161B2E"/>
          <w:sz w:val="22"/>
          <w:szCs w:val="22"/>
        </w:rPr>
        <w:t xml:space="preserve">Kehamilan dengan infeksi saluran kemih, dengue, malaria, atau HIV masing-masing memiliki pertimbangan spesifik: infeksi saluran kemih yang tidak diobati meningkatkan risiko persalinan preterm; infeksi dengue memerlukan pemantauan ketat trombosit dan tanda perdarahan; infeksi malaria pada wilayah endemis memerlukan tata laksana antimalaria yang aman bagi kehamilan; dan infeksi HIV memerlukan strategi pencegahan penularan ibu ke anak melalui terapi antiretroviral, pemantauan viral load, dan perencanaan cara persalinan yang tepat. Anemia dan kelainan hematologi lain memerlukan identifikasi etiologi dan koreksi sebelum memasuki persalinan untuk mengurangi risiko dekompensasi akibat kehilangan darah saat persalinan.</w:t>
      </w:r>
    </w:p>
    <w:p>
      <w:pPr>
        <w:pStyle w:val="Heading1"/>
        <w:pBdr>
          <w:bottom w:val="single" w:color="A9812F" w:sz="6" w:space="4"/>
        </w:pBdr>
        <w:spacing w:after="200" w:before="400"/>
      </w:pPr>
      <w:r>
        <w:t xml:space="preserve">BAB V — PRINSIP KOLABORASI INTERDISIPLIN</w:t>
      </w:r>
    </w:p>
    <w:p>
      <w:pPr>
        <w:spacing w:after="160" w:line="300"/>
        <w:jc w:val="both"/>
      </w:pPr>
      <w:r>
        <w:rPr>
          <w:color w:val="161B2E"/>
          <w:sz w:val="22"/>
          <w:szCs w:val="22"/>
        </w:rPr>
        <w:t xml:space="preserve">Kondisi komorbid kompleks menuntut Dokter Spesialis mengenali batas kompetensinya dan berkolaborasi dengan disiplin lain secara proaktif, bukan reaktif. Prinsip ini mencakup komunikasi rencana bersama sejak trimester awal untuk kondisi kronik yang telah diketahui sebelum kehamilan, dan koordinasi tim multidisiplin menjelang persalinan untuk kondisi yang berisiko tinggi terhadap dekompensasi maternal.</w:t>
      </w:r>
    </w:p>
    <w:p>
      <w:pPr>
        <w:pStyle w:val="Heading1"/>
        <w:pBdr>
          <w:bottom w:val="single" w:color="A9812F" w:sz="6" w:space="4"/>
        </w:pBdr>
        <w:spacing w:after="200" w:before="400"/>
      </w:pPr>
      <w:r>
        <w:t xml:space="preserve">BAB VI — KONTRIBUSI DIVISI OBGINSOS</w:t>
      </w:r>
    </w:p>
    <w:p>
      <w:pPr>
        <w:pStyle w:val="Heading2"/>
        <w:spacing w:after="140" w:before="280"/>
      </w:pPr>
      <w:r>
        <w:t xml:space="preserve">A. Deskripsi</w:t>
      </w:r>
    </w:p>
    <w:p>
      <w:pPr>
        <w:spacing w:after="160" w:line="300"/>
        <w:jc w:val="both"/>
      </w:pPr>
      <w:r>
        <w:rPr>
          <w:color w:val="161B2E"/>
          <w:sz w:val="22"/>
          <w:szCs w:val="22"/>
        </w:rPr>
        <w:t xml:space="preserve">Banyak komorbiditas dalam kehamilan yang dibahas pada buku ini — malaria, infeksi saluran kemih yang tidak diobati tuntas, anemia berat — memiliki akar yang sama: kemiskinan, gizi buruk, dan keterbatasan akses layanan kesehatan dasar sebelum kehamilan terjadi. Menatalaksana kondisi ini semata secara farmakologis, tanpa memahami mengapa kondisi tersebut baru terdeteksi saat kehamilan sudah berjalan jauh, berarti mengobati gejala tanpa menyentuh akar masalahnya.</w:t>
      </w:r>
    </w:p>
    <w:p>
      <w:pPr>
        <w:pStyle w:val="Heading2"/>
        <w:spacing w:after="140" w:before="280"/>
      </w:pPr>
      <w:r>
        <w:t xml:space="preserve">B. Komorbiditas sebagai Cermin Determinan Sosial Kesehatan</w:t>
      </w:r>
    </w:p>
    <w:p>
      <w:pPr>
        <w:spacing w:after="160" w:line="300"/>
        <w:jc w:val="both"/>
      </w:pPr>
      <w:r>
        <w:rPr>
          <w:color w:val="161B2E"/>
          <w:sz w:val="22"/>
          <w:szCs w:val="22"/>
        </w:rPr>
        <w:t xml:space="preserve">Divisi Obginsos mendorong peserta didik memeriksa riwayat sosial-ekonomi secara sistematis pada setiap kasus komorbiditas: status gizi pra-kehamilan, akses terhadap air bersih dan sanitasi (relevan untuk infeksi saluran kemih berulang), riwayat pemeriksaan kesehatan rutin sebelum kehamilan, dan status jaminan kesehatan. Anemia berat yang baru terdeteksi pada trimester ketiga, misalnya, sering mencerminkan ketiadaan akses pemeriksaan darah rutin sebelumnya — bukan semata kegagalan patuh minum tablet tambah darah. Pendekatan komprehensif memerlukan kolaborasi dengan layanan gizi masyarakat dan program jaminan kesehatan, bukan hanya resep obat di poliklinik.</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ibu hamil trimester ketiga datang dengan anemia berat (Hb 6 g/dL) yang baru diketahui saat pemeriksaan pertama kalinya di rumah sakit. Selain transfusi dan koreksi anemia, diskusi kasus yang dibimbing Divisi Obginsos menelusuri riwayat: ibu bekerja sebagai pemulung, tidak memiliki BPJS aktif, dan tidak pernah memeriksakan kehamilan sebelumnya karena takut biaya. Tindak lanjut yang diberikan bukan hanya tata laksana medis, tetapi juga pendampingan pekerja sosial rumah sakit untuk aktivasi kepesertaan jaminan kesehatan dan rujukan program bantuan gizi pascapersalinan.</w:t>
      </w:r>
    </w:p>
    <w:p>
      <w:pPr>
        <w:pStyle w:val="Heading1"/>
        <w:pBdr>
          <w:bottom w:val="single" w:color="A9812F" w:sz="6" w:space="4"/>
        </w:pBdr>
        <w:spacing w:after="200" w:before="400"/>
      </w:pPr>
      <w:r>
        <w:t xml:space="preserve">BAB VII — RINGKASAN KOMPETENSI YANG HARUS DICAPAI</w:t>
      </w:r>
    </w:p>
    <w:p>
      <w:pPr>
        <w:pStyle w:val="ListParagraph"/>
        <w:numPr>
          <w:ilvl w:val="0"/>
          <w:numId w:val="2"/>
        </w:numPr>
        <w:spacing w:after="100" w:line="290"/>
        <w:jc w:val="both"/>
      </w:pPr>
      <w:r>
        <w:rPr>
          <w:color w:val="161B2E"/>
          <w:sz w:val="22"/>
          <w:szCs w:val="22"/>
        </w:rPr>
        <w:t xml:space="preserve">Menatalaksana kehamilan dengan obesitas dan diabetes gestasional secara komprehensif.</w:t>
      </w:r>
    </w:p>
    <w:p>
      <w:pPr>
        <w:pStyle w:val="ListParagraph"/>
        <w:numPr>
          <w:ilvl w:val="0"/>
          <w:numId w:val="2"/>
        </w:numPr>
        <w:spacing w:after="100" w:line="290"/>
        <w:jc w:val="both"/>
      </w:pPr>
      <w:r>
        <w:rPr>
          <w:color w:val="161B2E"/>
          <w:sz w:val="22"/>
          <w:szCs w:val="22"/>
        </w:rPr>
        <w:t xml:space="preserve">Mengelola kehamilan dengan infeksi saluran kemih, dengue, malaria, dan HIV sesuai standar pencegahan komplikasi.</w:t>
      </w:r>
    </w:p>
    <w:p>
      <w:pPr>
        <w:pStyle w:val="ListParagraph"/>
        <w:numPr>
          <w:ilvl w:val="0"/>
          <w:numId w:val="2"/>
        </w:numPr>
        <w:spacing w:after="100" w:line="290"/>
        <w:jc w:val="both"/>
      </w:pPr>
      <w:r>
        <w:rPr>
          <w:color w:val="161B2E"/>
          <w:sz w:val="22"/>
          <w:szCs w:val="22"/>
        </w:rPr>
        <w:t xml:space="preserve">Mengidentifikasi dan mengoreksi anemia serta kelainan hematologi dalam kehamilan.</w:t>
      </w:r>
    </w:p>
    <w:p>
      <w:pPr>
        <w:pStyle w:val="ListParagraph"/>
        <w:numPr>
          <w:ilvl w:val="0"/>
          <w:numId w:val="2"/>
        </w:numPr>
        <w:spacing w:after="100" w:line="290"/>
        <w:jc w:val="both"/>
      </w:pPr>
      <w:r>
        <w:rPr>
          <w:color w:val="161B2E"/>
          <w:sz w:val="22"/>
          <w:szCs w:val="22"/>
        </w:rPr>
        <w:t xml:space="preserve">Berkolaborasi secara proaktif dengan disiplin lain untuk kondisi komorbid kompleks.</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4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2026-07-13T07:48:42.590Z</dcterms:created>
  <dcterms:modified xsi:type="dcterms:W3CDTF">2026-07-13T07:48:42.590Z</dcterms:modified>
</cp:coreProperties>
</file>

<file path=docProps/custom.xml><?xml version="1.0" encoding="utf-8"?>
<Properties xmlns="http://schemas.openxmlformats.org/officeDocument/2006/custom-properties" xmlns:vt="http://schemas.openxmlformats.org/officeDocument/2006/docPropsVTypes"/>
</file>