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80"/>
        <w:jc w:val="center"/>
      </w:pPr>
      <w:r>
        <w:rPr>
          <w:b/>
          <w:bCs/>
          <w:color w:val="A9812F"/>
          <w:spacing w:val="20"/>
          <w:sz w:val="20"/>
          <w:szCs w:val="20"/>
        </w:rPr>
        <w:t xml:space="preserve">PERPUSTAKAAN DIGITAL ABBA</w:t>
      </w:r>
    </w:p>
    <w:p>
      <w:pPr>
        <w:spacing w:after="600"/>
        <w:jc w:val="center"/>
      </w:pPr>
      <w:r>
        <w:rPr>
          <w:color w:val="5B6478"/>
          <w:sz w:val="18"/>
          <w:szCs w:val="18"/>
        </w:rPr>
        <w:t xml:space="preserve">Jl. Danau Kerinci Raya No. 9, Malang 65138</w:t>
      </w:r>
    </w:p>
    <w:p>
      <w:pPr>
        <w:spacing w:after="200"/>
        <w:jc w:val="center"/>
      </w:pPr>
      <w:r>
        <w:rPr>
          <w:color w:val="2C3A64"/>
          <w:spacing w:val="10"/>
          <w:sz w:val="18"/>
          <w:szCs w:val="18"/>
        </w:rPr>
        <w:t xml:space="preserve">BUKU 2 DARI 15 — SERI BUKU AJAR INTI KOMPETENSI DOKTER SPESIALIS OBSTETRI DAN GINEKOLOGI (SPOG)</w:t>
      </w:r>
    </w:p>
    <w:p>
      <w:pPr>
        <w:spacing w:after="500"/>
        <w:jc w:val="center"/>
      </w:pPr>
      <w:r>
        <w:rPr>
          <w:b/>
          <w:bCs/>
          <w:color w:val="1C2749"/>
          <w:sz w:val="40"/>
          <w:szCs w:val="40"/>
        </w:rPr>
        <w:t xml:space="preserve">Obstetri Fisiologis dan Asuhan Antenatal</w:t>
      </w:r>
    </w:p>
    <w:p>
      <w:pPr>
        <w:spacing w:after="60"/>
        <w:jc w:val="center"/>
      </w:pPr>
      <w:r>
        <w:rPr>
          <w:color w:val="5B6478"/>
          <w:sz w:val="20"/>
          <w:szCs w:val="20"/>
        </w:rPr>
        <w:t xml:space="preserve">Disusun oleh</w:t>
      </w:r>
    </w:p>
    <w:p>
      <w:pPr>
        <w:spacing w:after="900"/>
        <w:jc w:val="center"/>
      </w:pPr>
      <w:r>
        <w:rPr>
          <w:b/>
          <w:bCs/>
          <w:color w:val="161B2E"/>
          <w:sz w:val="22"/>
          <w:szCs w:val="22"/>
        </w:rPr>
        <w:t xml:space="preserve">Dr.dr. H. Budi Siswanto, Sp.OG., Subsp.Obginsos., SH., S.Kom.</w:t>
      </w:r>
    </w:p>
    <w:p>
      <w:pPr>
        <w:jc w:val="center"/>
      </w:pPr>
      <w:r>
        <w:rPr>
          <w:b/>
          <w:bCs/>
          <w:color w:val="A9812F"/>
          <w:sz w:val="20"/>
          <w:szCs w:val="20"/>
        </w:rPr>
        <w:t xml:space="preserve">2026</w:t>
      </w:r>
    </w:p>
    <w:p>
      <w:r>
        <w:br w:type="page"/>
      </w:r>
    </w:p>
    <w:p>
      <w:pPr>
        <w:pStyle w:val="Heading1"/>
        <w:pBdr>
          <w:bottom w:val="single" w:color="A9812F" w:sz="6" w:space="4"/>
        </w:pBdr>
        <w:spacing w:after="200" w:before="400"/>
      </w:pPr>
      <w:r>
        <w:t xml:space="preserve">BAB I — PENDAHULUAN</w:t>
      </w:r>
    </w:p>
    <w:p>
      <w:pPr>
        <w:spacing w:after="160" w:line="300"/>
        <w:jc w:val="both"/>
      </w:pPr>
      <w:r>
        <w:rPr>
          <w:color w:val="161B2E"/>
          <w:sz w:val="22"/>
          <w:szCs w:val="22"/>
        </w:rPr>
        <w:t xml:space="preserve">Buku ini membahas kompetensi dasar yang menjadi fondasi seluruh praktik obstetri: penanganan kehamilan fisiologis, asuhan antenatal, serta dua kelompok populasi khusus yang sering dijumpai dalam praktik sehari-hari — kehamilan remaja dan kebutuhan kontrasepsi wanita usia reproduksi. Kompetensi pada buku ini menjadi kasus dasar yang dikuasai lebih awal dalam tahap pendidikan sebelum peserta didik beralih ke kasus patologis pada Buku 3 dan 4.</w:t>
      </w:r>
    </w:p>
    <w:p>
      <w:pPr>
        <w:pStyle w:val="Heading1"/>
        <w:pBdr>
          <w:bottom w:val="single" w:color="A9812F" w:sz="6" w:space="4"/>
        </w:pBdr>
        <w:spacing w:after="200" w:before="400"/>
      </w:pPr>
      <w:r>
        <w:t xml:space="preserve">BAB II — RUANG LINGKUP KONDISI KLINIS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2C3A64" w:val="clear"/>
            <w:tcMar>
              <w:top w:type="dxa" w:w="100"/>
              <w:left w:type="dxa" w:w="100"/>
              <w:bottom w:type="dxa" w:w="100"/>
              <w:right w:type="dxa" w:w="100"/>
            </w:tcMar>
          </w:tcPr>
          <w:p>
            <w:r>
              <w:rPr>
                <w:b/>
                <w:bCs/>
                <w:color w:val="FFFFFF"/>
                <w:sz w:val="19"/>
                <w:szCs w:val="19"/>
              </w:rPr>
              <w:t xml:space="preserve">No.</w:t>
            </w:r>
          </w:p>
        </w:tc>
        <w:tc>
          <w:tcPr>
            <w:tcW w:type="dxa" w:w="2256"/>
            <w:shd w:fill="2C3A64" w:val="clear"/>
            <w:tcMar>
              <w:top w:type="dxa" w:w="100"/>
              <w:left w:type="dxa" w:w="100"/>
              <w:bottom w:type="dxa" w:w="100"/>
              <w:right w:type="dxa" w:w="100"/>
            </w:tcMar>
          </w:tcPr>
          <w:p>
            <w:r>
              <w:rPr>
                <w:b/>
                <w:bCs/>
                <w:color w:val="FFFFFF"/>
                <w:sz w:val="19"/>
                <w:szCs w:val="19"/>
              </w:rPr>
              <w:t xml:space="preserve">Kondisi</w:t>
            </w:r>
          </w:p>
        </w:tc>
        <w:tc>
          <w:tcPr>
            <w:tcW w:type="dxa" w:w="2256"/>
            <w:shd w:fill="2C3A64" w:val="clear"/>
            <w:tcMar>
              <w:top w:type="dxa" w:w="100"/>
              <w:left w:type="dxa" w:w="100"/>
              <w:bottom w:type="dxa" w:w="100"/>
              <w:right w:type="dxa" w:w="100"/>
            </w:tcMar>
          </w:tcPr>
          <w:p>
            <w:r>
              <w:rPr>
                <w:b/>
                <w:bCs/>
                <w:color w:val="FFFFFF"/>
                <w:sz w:val="19"/>
                <w:szCs w:val="19"/>
              </w:rPr>
              <w:t xml:space="preserve">ICD-10</w:t>
            </w:r>
          </w:p>
        </w:tc>
        <w:tc>
          <w:tcPr>
            <w:tcW w:type="dxa" w:w="2256"/>
            <w:shd w:fill="2C3A64" w:val="clear"/>
            <w:tcMar>
              <w:top w:type="dxa" w:w="100"/>
              <w:left w:type="dxa" w:w="100"/>
              <w:bottom w:type="dxa" w:w="100"/>
              <w:right w:type="dxa" w:w="100"/>
            </w:tcMar>
          </w:tcPr>
          <w:p>
            <w:r>
              <w:rPr>
                <w:b/>
                <w:bCs/>
                <w:color w:val="FFFFFF"/>
                <w:sz w:val="19"/>
                <w:szCs w:val="19"/>
              </w:rPr>
              <w:t xml:space="preserve">Catatan Klinis</w:t>
            </w:r>
          </w:p>
        </w:tc>
      </w:tr>
      <w:tr>
        <w:tc>
          <w:tcPr>
            <w:tcW w:type="dxa" w:w="2256"/>
            <w:shd w:fill="F5F6FA" w:val="clear"/>
            <w:tcMar>
              <w:top w:type="dxa" w:w="90"/>
              <w:left w:type="dxa" w:w="100"/>
              <w:bottom w:type="dxa" w:w="90"/>
              <w:right w:type="dxa" w:w="100"/>
            </w:tcMar>
          </w:tcPr>
          <w:p>
            <w:r>
              <w:rPr>
                <w:color w:val="161B2E"/>
                <w:sz w:val="19"/>
                <w:szCs w:val="19"/>
              </w:rPr>
              <w:t xml:space="preserve">1</w:t>
            </w:r>
          </w:p>
        </w:tc>
        <w:tc>
          <w:tcPr>
            <w:tcW w:type="dxa" w:w="2256"/>
            <w:shd w:fill="F5F6FA" w:val="clear"/>
            <w:tcMar>
              <w:top w:type="dxa" w:w="90"/>
              <w:left w:type="dxa" w:w="100"/>
              <w:bottom w:type="dxa" w:w="90"/>
              <w:right w:type="dxa" w:w="100"/>
            </w:tcMar>
          </w:tcPr>
          <w:p>
            <w:r>
              <w:rPr>
                <w:color w:val="161B2E"/>
                <w:sz w:val="19"/>
                <w:szCs w:val="19"/>
              </w:rPr>
              <w:t xml:space="preserve">Kehamilan tanpa penyulit</w:t>
            </w:r>
          </w:p>
        </w:tc>
        <w:tc>
          <w:tcPr>
            <w:tcW w:type="dxa" w:w="2256"/>
            <w:shd w:fill="F5F6FA" w:val="clear"/>
            <w:tcMar>
              <w:top w:type="dxa" w:w="90"/>
              <w:left w:type="dxa" w:w="100"/>
              <w:bottom w:type="dxa" w:w="90"/>
              <w:right w:type="dxa" w:w="100"/>
            </w:tcMar>
          </w:tcPr>
          <w:p>
            <w:r>
              <w:rPr>
                <w:color w:val="161B2E"/>
                <w:sz w:val="19"/>
                <w:szCs w:val="19"/>
              </w:rPr>
              <w:t xml:space="preserve">Z34</w:t>
            </w:r>
          </w:p>
        </w:tc>
        <w:tc>
          <w:tcPr>
            <w:tcW w:type="dxa" w:w="2256"/>
            <w:shd w:fill="F5F6FA" w:val="clear"/>
            <w:tcMar>
              <w:top w:type="dxa" w:w="90"/>
              <w:left w:type="dxa" w:w="100"/>
              <w:bottom w:type="dxa" w:w="90"/>
              <w:right w:type="dxa" w:w="100"/>
            </w:tcMar>
          </w:tcPr>
          <w:p>
            <w:r>
              <w:rPr>
                <w:color w:val="161B2E"/>
                <w:sz w:val="19"/>
                <w:szCs w:val="19"/>
              </w:rPr>
              <w:t xml:space="preserve">Kehamilan normal pada ibu sehat tanpa komplikasi; dasar seluruh asuhan antenatal.</w:t>
            </w:r>
          </w:p>
        </w:tc>
      </w:tr>
      <w:tr>
        <w:tc>
          <w:tcPr>
            <w:tcW w:type="dxa" w:w="2256"/>
            <w:shd w:fill="FFFFFF" w:val="clear"/>
            <w:tcMar>
              <w:top w:type="dxa" w:w="90"/>
              <w:left w:type="dxa" w:w="100"/>
              <w:bottom w:type="dxa" w:w="90"/>
              <w:right w:type="dxa" w:w="100"/>
            </w:tcMar>
          </w:tcPr>
          <w:p>
            <w:r>
              <w:rPr>
                <w:color w:val="161B2E"/>
                <w:sz w:val="19"/>
                <w:szCs w:val="19"/>
              </w:rPr>
              <w:t xml:space="preserve">2</w:t>
            </w:r>
          </w:p>
        </w:tc>
        <w:tc>
          <w:tcPr>
            <w:tcW w:type="dxa" w:w="2256"/>
            <w:shd w:fill="FFFFFF" w:val="clear"/>
            <w:tcMar>
              <w:top w:type="dxa" w:w="90"/>
              <w:left w:type="dxa" w:w="100"/>
              <w:bottom w:type="dxa" w:w="90"/>
              <w:right w:type="dxa" w:w="100"/>
            </w:tcMar>
          </w:tcPr>
          <w:p>
            <w:r>
              <w:rPr>
                <w:color w:val="161B2E"/>
                <w:sz w:val="19"/>
                <w:szCs w:val="19"/>
              </w:rPr>
              <w:t xml:space="preserve">Masalah ringan pada kehamilan (nyeri punggung, striae gravidarum, epistaksis, dll.)</w:t>
            </w:r>
          </w:p>
        </w:tc>
        <w:tc>
          <w:tcPr>
            <w:tcW w:type="dxa" w:w="2256"/>
            <w:shd w:fill="FFFFFF" w:val="clear"/>
            <w:tcMar>
              <w:top w:type="dxa" w:w="90"/>
              <w:left w:type="dxa" w:w="100"/>
              <w:bottom w:type="dxa" w:w="90"/>
              <w:right w:type="dxa" w:w="100"/>
            </w:tcMar>
          </w:tcPr>
          <w:p>
            <w:r>
              <w:rPr>
                <w:color w:val="161B2E"/>
                <w:sz w:val="19"/>
                <w:szCs w:val="19"/>
              </w:rPr>
              <w:t xml:space="preserve">O26.9 dkk.</w:t>
            </w:r>
          </w:p>
        </w:tc>
        <w:tc>
          <w:tcPr>
            <w:tcW w:type="dxa" w:w="2256"/>
            <w:shd w:fill="FFFFFF" w:val="clear"/>
            <w:tcMar>
              <w:top w:type="dxa" w:w="90"/>
              <w:left w:type="dxa" w:w="100"/>
              <w:bottom w:type="dxa" w:w="90"/>
              <w:right w:type="dxa" w:w="100"/>
            </w:tcMar>
          </w:tcPr>
          <w:p>
            <w:r>
              <w:rPr>
                <w:color w:val="161B2E"/>
                <w:sz w:val="19"/>
                <w:szCs w:val="19"/>
              </w:rPr>
              <w:t xml:space="preserve">Keluhan fisiologis ringan yang dialami mayoritas ibu hamil; memerlukan edukasi dan reassurance, bukan intervensi agresif.</w:t>
            </w:r>
          </w:p>
        </w:tc>
      </w:tr>
      <w:tr>
        <w:tc>
          <w:tcPr>
            <w:tcW w:type="dxa" w:w="2256"/>
            <w:shd w:fill="F5F6FA" w:val="clear"/>
            <w:tcMar>
              <w:top w:type="dxa" w:w="90"/>
              <w:left w:type="dxa" w:w="100"/>
              <w:bottom w:type="dxa" w:w="90"/>
              <w:right w:type="dxa" w:w="100"/>
            </w:tcMar>
          </w:tcPr>
          <w:p>
            <w:r>
              <w:rPr>
                <w:color w:val="161B2E"/>
                <w:sz w:val="19"/>
                <w:szCs w:val="19"/>
              </w:rPr>
              <w:t xml:space="preserve">38</w:t>
            </w:r>
          </w:p>
        </w:tc>
        <w:tc>
          <w:tcPr>
            <w:tcW w:type="dxa" w:w="2256"/>
            <w:shd w:fill="F5F6FA" w:val="clear"/>
            <w:tcMar>
              <w:top w:type="dxa" w:w="90"/>
              <w:left w:type="dxa" w:w="100"/>
              <w:bottom w:type="dxa" w:w="90"/>
              <w:right w:type="dxa" w:w="100"/>
            </w:tcMar>
          </w:tcPr>
          <w:p>
            <w:r>
              <w:rPr>
                <w:color w:val="161B2E"/>
                <w:sz w:val="19"/>
                <w:szCs w:val="19"/>
              </w:rPr>
              <w:t xml:space="preserve">Nifas (masa pascapersalinan)</w:t>
            </w:r>
          </w:p>
        </w:tc>
        <w:tc>
          <w:tcPr>
            <w:tcW w:type="dxa" w:w="2256"/>
            <w:shd w:fill="F5F6FA" w:val="clear"/>
            <w:tcMar>
              <w:top w:type="dxa" w:w="90"/>
              <w:left w:type="dxa" w:w="100"/>
              <w:bottom w:type="dxa" w:w="90"/>
              <w:right w:type="dxa" w:w="100"/>
            </w:tcMar>
          </w:tcPr>
          <w:p>
            <w:r>
              <w:rPr>
                <w:color w:val="161B2E"/>
                <w:sz w:val="19"/>
                <w:szCs w:val="19"/>
              </w:rPr>
              <w:t xml:space="preserve">Z39.2</w:t>
            </w:r>
          </w:p>
        </w:tc>
        <w:tc>
          <w:tcPr>
            <w:tcW w:type="dxa" w:w="2256"/>
            <w:shd w:fill="F5F6FA" w:val="clear"/>
            <w:tcMar>
              <w:top w:type="dxa" w:w="90"/>
              <w:left w:type="dxa" w:w="100"/>
              <w:bottom w:type="dxa" w:w="90"/>
              <w:right w:type="dxa" w:w="100"/>
            </w:tcMar>
          </w:tcPr>
          <w:p>
            <w:r>
              <w:rPr>
                <w:color w:val="161B2E"/>
                <w:sz w:val="19"/>
                <w:szCs w:val="19"/>
              </w:rPr>
              <w:t xml:space="preserve">Pemantauan ibu pada masa pascapersalinan; dibahas lebih rinci pada Buku 5.</w:t>
            </w:r>
          </w:p>
        </w:tc>
      </w:tr>
      <w:tr>
        <w:tc>
          <w:tcPr>
            <w:tcW w:type="dxa" w:w="2256"/>
            <w:shd w:fill="FFFFFF" w:val="clear"/>
            <w:tcMar>
              <w:top w:type="dxa" w:w="90"/>
              <w:left w:type="dxa" w:w="100"/>
              <w:bottom w:type="dxa" w:w="90"/>
              <w:right w:type="dxa" w:w="100"/>
            </w:tcMar>
          </w:tcPr>
          <w:p>
            <w:r>
              <w:rPr>
                <w:color w:val="161B2E"/>
                <w:sz w:val="19"/>
                <w:szCs w:val="19"/>
              </w:rPr>
              <w:t xml:space="preserve">69</w:t>
            </w:r>
          </w:p>
        </w:tc>
        <w:tc>
          <w:tcPr>
            <w:tcW w:type="dxa" w:w="2256"/>
            <w:shd w:fill="FFFFFF" w:val="clear"/>
            <w:tcMar>
              <w:top w:type="dxa" w:w="90"/>
              <w:left w:type="dxa" w:w="100"/>
              <w:bottom w:type="dxa" w:w="90"/>
              <w:right w:type="dxa" w:w="100"/>
            </w:tcMar>
          </w:tcPr>
          <w:p>
            <w:r>
              <w:rPr>
                <w:color w:val="161B2E"/>
                <w:sz w:val="19"/>
                <w:szCs w:val="19"/>
              </w:rPr>
              <w:t xml:space="preserve">Kehamilan remaja</w:t>
            </w:r>
          </w:p>
        </w:tc>
        <w:tc>
          <w:tcPr>
            <w:tcW w:type="dxa" w:w="2256"/>
            <w:shd w:fill="FFFFFF" w:val="clear"/>
            <w:tcMar>
              <w:top w:type="dxa" w:w="90"/>
              <w:left w:type="dxa" w:w="100"/>
              <w:bottom w:type="dxa" w:w="90"/>
              <w:right w:type="dxa" w:w="100"/>
            </w:tcMar>
          </w:tcPr>
          <w:p>
            <w:r>
              <w:rPr>
                <w:color w:val="161B2E"/>
                <w:sz w:val="19"/>
                <w:szCs w:val="19"/>
              </w:rPr>
              <w:t xml:space="preserve">Z35.6</w:t>
            </w:r>
          </w:p>
        </w:tc>
        <w:tc>
          <w:tcPr>
            <w:tcW w:type="dxa" w:w="2256"/>
            <w:shd w:fill="FFFFFF" w:val="clear"/>
            <w:tcMar>
              <w:top w:type="dxa" w:w="90"/>
              <w:left w:type="dxa" w:w="100"/>
              <w:bottom w:type="dxa" w:w="90"/>
              <w:right w:type="dxa" w:w="100"/>
            </w:tcMar>
          </w:tcPr>
          <w:p>
            <w:r>
              <w:rPr>
                <w:color w:val="161B2E"/>
                <w:sz w:val="19"/>
                <w:szCs w:val="19"/>
              </w:rPr>
              <w:t xml:space="preserve">Kehamilan pada usia remaja; memerlukan pendekatan biopsikososial tambahan (lihat Buku 11).</w:t>
            </w:r>
          </w:p>
        </w:tc>
      </w:tr>
      <w:tr>
        <w:tc>
          <w:tcPr>
            <w:tcW w:type="dxa" w:w="2256"/>
            <w:shd w:fill="F5F6FA" w:val="clear"/>
            <w:tcMar>
              <w:top w:type="dxa" w:w="90"/>
              <w:left w:type="dxa" w:w="100"/>
              <w:bottom w:type="dxa" w:w="90"/>
              <w:right w:type="dxa" w:w="100"/>
            </w:tcMar>
          </w:tcPr>
          <w:p>
            <w:r>
              <w:rPr>
                <w:color w:val="161B2E"/>
                <w:sz w:val="19"/>
                <w:szCs w:val="19"/>
              </w:rPr>
              <w:t xml:space="preserve">70</w:t>
            </w:r>
          </w:p>
        </w:tc>
        <w:tc>
          <w:tcPr>
            <w:tcW w:type="dxa" w:w="2256"/>
            <w:shd w:fill="F5F6FA" w:val="clear"/>
            <w:tcMar>
              <w:top w:type="dxa" w:w="90"/>
              <w:left w:type="dxa" w:w="100"/>
              <w:bottom w:type="dxa" w:w="90"/>
              <w:right w:type="dxa" w:w="100"/>
            </w:tcMar>
          </w:tcPr>
          <w:p>
            <w:r>
              <w:rPr>
                <w:color w:val="161B2E"/>
                <w:sz w:val="19"/>
                <w:szCs w:val="19"/>
              </w:rPr>
              <w:t xml:space="preserve">Kontrasepsi</w:t>
            </w:r>
          </w:p>
        </w:tc>
        <w:tc>
          <w:tcPr>
            <w:tcW w:type="dxa" w:w="2256"/>
            <w:shd w:fill="F5F6FA" w:val="clear"/>
            <w:tcMar>
              <w:top w:type="dxa" w:w="90"/>
              <w:left w:type="dxa" w:w="100"/>
              <w:bottom w:type="dxa" w:w="90"/>
              <w:right w:type="dxa" w:w="100"/>
            </w:tcMar>
          </w:tcPr>
          <w:p>
            <w:r>
              <w:rPr>
                <w:color w:val="161B2E"/>
                <w:sz w:val="19"/>
                <w:szCs w:val="19"/>
              </w:rPr>
              <w:t xml:space="preserve">Z30</w:t>
            </w:r>
          </w:p>
        </w:tc>
        <w:tc>
          <w:tcPr>
            <w:tcW w:type="dxa" w:w="2256"/>
            <w:shd w:fill="F5F6FA" w:val="clear"/>
            <w:tcMar>
              <w:top w:type="dxa" w:w="90"/>
              <w:left w:type="dxa" w:w="100"/>
              <w:bottom w:type="dxa" w:w="90"/>
              <w:right w:type="dxa" w:w="100"/>
            </w:tcMar>
          </w:tcPr>
          <w:p>
            <w:r>
              <w:rPr>
                <w:color w:val="161B2E"/>
                <w:sz w:val="19"/>
                <w:szCs w:val="19"/>
              </w:rPr>
              <w:t xml:space="preserve">Pengaturan fertilitas wanita usia reproduksi; konseling dan pemilihan metode kontrasepsi.</w:t>
            </w:r>
          </w:p>
        </w:tc>
      </w:tr>
    </w:tbl>
    <w:p>
      <w:pPr>
        <w:spacing w:after="160"/>
      </w:pPr>
    </w:p>
    <w:p>
      <w:pPr>
        <w:pStyle w:val="Heading1"/>
        <w:pBdr>
          <w:bottom w:val="single" w:color="A9812F" w:sz="6" w:space="4"/>
        </w:pBdr>
        <w:spacing w:after="200" w:before="400"/>
      </w:pPr>
      <w:r>
        <w:t xml:space="preserve">BAB III — ASUHAN ANTENATAL TERSTRUKTUR</w:t>
      </w:r>
    </w:p>
    <w:p>
      <w:pPr>
        <w:spacing w:after="160" w:line="300"/>
        <w:jc w:val="both"/>
      </w:pPr>
      <w:r>
        <w:rPr>
          <w:color w:val="161B2E"/>
          <w:sz w:val="22"/>
          <w:szCs w:val="22"/>
        </w:rPr>
        <w:t xml:space="preserve">Asuhan antenatal komprehensif mencakup penapisan risiko sejak kontak pertama, jadwal kunjungan terstruktur sesuai usia kehamilan, pemantauan pertumbuhan janin, skrining kondisi yang berpotensi berkembang menjadi patologis (hipertensi, diabetes gestasional, anemia), serta edukasi tanda bahaya kehamilan yang harus segera dilaporkan oleh ibu hamil. Dokter Spesialis bertanggung jawab memastikan setiap kunjungan menghasilkan keputusan klinis yang terdokumentasi, bukan sekadar pencatatan rutin.</w:t>
      </w:r>
    </w:p>
    <w:p>
      <w:pPr>
        <w:pStyle w:val="ListParagraph"/>
        <w:numPr>
          <w:ilvl w:val="0"/>
          <w:numId w:val="2"/>
        </w:numPr>
        <w:spacing w:after="100" w:line="290"/>
        <w:jc w:val="both"/>
      </w:pPr>
      <w:r>
        <w:rPr>
          <w:color w:val="161B2E"/>
          <w:sz w:val="22"/>
          <w:szCs w:val="22"/>
        </w:rPr>
        <w:t xml:space="preserve">Penapisan riwayat obstetri, medis, dan sosial pada kunjungan pertama.</w:t>
      </w:r>
    </w:p>
    <w:p>
      <w:pPr>
        <w:pStyle w:val="ListParagraph"/>
        <w:numPr>
          <w:ilvl w:val="0"/>
          <w:numId w:val="2"/>
        </w:numPr>
        <w:spacing w:after="100" w:line="290"/>
        <w:jc w:val="both"/>
      </w:pPr>
      <w:r>
        <w:rPr>
          <w:color w:val="161B2E"/>
          <w:sz w:val="22"/>
          <w:szCs w:val="22"/>
        </w:rPr>
        <w:t xml:space="preserve">Pemeriksaan fisik dan laboratorium sesuai usia kehamilan dan faktor risiko.</w:t>
      </w:r>
    </w:p>
    <w:p>
      <w:pPr>
        <w:pStyle w:val="ListParagraph"/>
        <w:numPr>
          <w:ilvl w:val="0"/>
          <w:numId w:val="2"/>
        </w:numPr>
        <w:spacing w:after="100" w:line="290"/>
        <w:jc w:val="both"/>
      </w:pPr>
      <w:r>
        <w:rPr>
          <w:color w:val="161B2E"/>
          <w:sz w:val="22"/>
          <w:szCs w:val="22"/>
        </w:rPr>
        <w:t xml:space="preserve">Pemantauan pertumbuhan janin melalui pengukuran tinggi fundus dan/atau ultrasonografi sesuai indikasi.</w:t>
      </w:r>
    </w:p>
    <w:p>
      <w:pPr>
        <w:pStyle w:val="ListParagraph"/>
        <w:numPr>
          <w:ilvl w:val="0"/>
          <w:numId w:val="2"/>
        </w:numPr>
        <w:spacing w:after="100" w:line="290"/>
        <w:jc w:val="both"/>
      </w:pPr>
      <w:r>
        <w:rPr>
          <w:color w:val="161B2E"/>
          <w:sz w:val="22"/>
          <w:szCs w:val="22"/>
        </w:rPr>
        <w:t xml:space="preserve">Edukasi nutrisi, aktivitas fisik yang aman, dan tanda bahaya kehamilan.</w:t>
      </w:r>
    </w:p>
    <w:p>
      <w:pPr>
        <w:pStyle w:val="ListParagraph"/>
        <w:numPr>
          <w:ilvl w:val="0"/>
          <w:numId w:val="2"/>
        </w:numPr>
        <w:spacing w:after="100" w:line="290"/>
        <w:jc w:val="both"/>
      </w:pPr>
      <w:r>
        <w:rPr>
          <w:color w:val="161B2E"/>
          <w:sz w:val="22"/>
          <w:szCs w:val="22"/>
        </w:rPr>
        <w:t xml:space="preserve">Identifikasi dini faktor risiko yang memerlukan rujukan atau intensifikasi pemantauan (lihat Buku 3 dan 4).</w:t>
      </w:r>
    </w:p>
    <w:p>
      <w:pPr>
        <w:pStyle w:val="Heading1"/>
        <w:pBdr>
          <w:bottom w:val="single" w:color="A9812F" w:sz="6" w:space="4"/>
        </w:pBdr>
        <w:spacing w:after="200" w:before="400"/>
      </w:pPr>
      <w:r>
        <w:t xml:space="preserve">BAB IV — PENANGANAN KELUHAN FISIOLOGIS RINGAN</w:t>
      </w:r>
    </w:p>
    <w:p>
      <w:pPr>
        <w:spacing w:after="160" w:line="300"/>
        <w:jc w:val="both"/>
      </w:pPr>
      <w:r>
        <w:rPr>
          <w:color w:val="161B2E"/>
          <w:sz w:val="22"/>
          <w:szCs w:val="22"/>
        </w:rPr>
        <w:t xml:space="preserve">Keluhan seperti nyeri punggung, striae gravidarum, dan epistaksis ringan merupakan konsekuensi fisiologis kehamilan yang dialami oleh mayoritas ibu hamil. Kompetensi inti pada kelompok ini adalah kemampuan membedakan keluhan fisiologis dari tanda awal kondisi patologis yang menyerupainya (misalnya membedakan nyeri punggung fisiologis dari tanda persalinan preterm), serta memberikan edukasi dan tata laksana suportif yang tepat tanpa intervensi berlebihan.</w:t>
      </w:r>
    </w:p>
    <w:p>
      <w:pPr>
        <w:pStyle w:val="Heading1"/>
        <w:pBdr>
          <w:bottom w:val="single" w:color="A9812F" w:sz="6" w:space="4"/>
        </w:pBdr>
        <w:spacing w:after="200" w:before="400"/>
      </w:pPr>
      <w:r>
        <w:t xml:space="preserve">BAB V — KEHAMILAN REMAJA</w:t>
      </w:r>
    </w:p>
    <w:p>
      <w:pPr>
        <w:spacing w:after="160" w:line="300"/>
        <w:jc w:val="both"/>
      </w:pPr>
      <w:r>
        <w:rPr>
          <w:color w:val="161B2E"/>
          <w:sz w:val="22"/>
          <w:szCs w:val="22"/>
        </w:rPr>
        <w:t xml:space="preserve">Kehamilan remaja memerlukan pendekatan yang melampaui aspek medis semata. Dokter Spesialis perlu memahami risiko obstetri yang lebih tinggi pada kelompok usia ini (anemia, preeklamsia, persalinan preterm), sekaligus kebutuhan dukungan psikososial, pendidikan, dan perlindungan hukum bagi pasien remaja. Aspek mediko-legal dan biopsikososial kehamilan remaja dibahas lebih mendalam pada Buku 11.</w:t>
      </w:r>
    </w:p>
    <w:p>
      <w:pPr>
        <w:pStyle w:val="Heading1"/>
        <w:pBdr>
          <w:bottom w:val="single" w:color="A9812F" w:sz="6" w:space="4"/>
        </w:pBdr>
        <w:spacing w:after="200" w:before="400"/>
      </w:pPr>
      <w:r>
        <w:t xml:space="preserve">BAB VI — KONSELING DAN PELAYANAN KONTRASEPSI</w:t>
      </w:r>
    </w:p>
    <w:p>
      <w:pPr>
        <w:spacing w:after="160" w:line="300"/>
        <w:jc w:val="both"/>
      </w:pPr>
      <w:r>
        <w:rPr>
          <w:color w:val="161B2E"/>
          <w:sz w:val="22"/>
          <w:szCs w:val="22"/>
        </w:rPr>
        <w:t xml:space="preserve">Kompetensi konseling kontrasepsi mencakup penjelasan pilihan metode (hormonal dan non-hormonal, jangka pendek dan jangka panjang), penapisan kontraindikasi medis, serta penghormatan terhadap otonomi pasien dalam memilih metode yang sesuai dengan kondisi kesehatan dan preferensi pribadinya. Pelayanan kontrasepsi pascasalin menjadi bagian integral dari asuhan nifas (lihat Buku 5).</w:t>
      </w:r>
    </w:p>
    <w:p>
      <w:pPr>
        <w:pStyle w:val="Heading1"/>
        <w:pBdr>
          <w:bottom w:val="single" w:color="A9812F" w:sz="6" w:space="4"/>
        </w:pBdr>
        <w:spacing w:after="200" w:before="400"/>
      </w:pPr>
      <w:r>
        <w:t xml:space="preserve">BAB VII — KONTRIBUSI DIVISI OBGINSOS</w:t>
      </w:r>
    </w:p>
    <w:p>
      <w:pPr>
        <w:pStyle w:val="Heading2"/>
        <w:spacing w:after="140" w:before="280"/>
      </w:pPr>
      <w:r>
        <w:t xml:space="preserve">A. Deskripsi</w:t>
      </w:r>
    </w:p>
    <w:p>
      <w:pPr>
        <w:spacing w:after="160" w:line="300"/>
        <w:jc w:val="both"/>
      </w:pPr>
      <w:r>
        <w:rPr>
          <w:color w:val="161B2E"/>
          <w:sz w:val="22"/>
          <w:szCs w:val="22"/>
        </w:rPr>
        <w:t xml:space="preserve">Asuhan antenatal sering diajarkan sebagai daftar kunjungan dan pemeriksaan terjadwal. Namun di lapangan, kegagalan asuhan antenatal jarang disebabkan ketidaktahuan ibu hamil akan pentingnya periksa kehamilan — lebih sering disebabkan ketidakmampuan mengaksesnya: jarak, biaya transportasi, kehilangan upah harian, atau ketiadaan pendamping. Divisi Obginsos mengajarkan Anda untuk merancang asuhan antenatal yang realistis terhadap kendala nyata pasien, bukan sekadar sesuai jadwal ideal di buku teks.</w:t>
      </w:r>
    </w:p>
    <w:p>
      <w:pPr>
        <w:pStyle w:val="Heading2"/>
        <w:spacing w:after="140" w:before="280"/>
      </w:pPr>
      <w:r>
        <w:t xml:space="preserve">B. Antenatal Care yang Berkeadilan Sosial</w:t>
      </w:r>
    </w:p>
    <w:p>
      <w:pPr>
        <w:spacing w:after="160" w:line="300"/>
        <w:jc w:val="both"/>
      </w:pPr>
      <w:r>
        <w:rPr>
          <w:color w:val="161B2E"/>
          <w:sz w:val="22"/>
          <w:szCs w:val="22"/>
        </w:rPr>
        <w:t xml:space="preserve">Penerapan asuhan antenatal berkeadilan sosial mencakup: penjadwalan kunjungan yang mempertimbangkan pola kerja pasien (mis. kunjungan sore/akhir pekan bagi buruh harian), pemanfaatan kader kesehatan dan Posyandu sebagai perpanjangan tangan pemantauan bagi ibu hamil yang sulit menjangkau fasilitas kesehatan, dan pendekatan proaktif terhadap kehamilan remaja yang berisiko drop-out dari asuhan antenatal karena stigma. Pada kehamilan remaja khususnya, Divisi Obginsos menekankan pendekatan yang tidak menghakimi, memastikan remaja tetap mendapat pendampingan pendidikan dan psikososial, bukan sekadar penanganan medis kehamilannya semata.</w:t>
      </w:r>
    </w:p>
    <w:p>
      <w:pPr>
        <w:pStyle w:val="Heading2"/>
        <w:spacing w:after="140" w:before="280"/>
      </w:pPr>
      <w:r>
        <w:t xml:space="preserve">C. Ilustrasi Kasus Lapangan</w:t>
      </w:r>
    </w:p>
    <w:p>
      <w:pPr>
        <w:pBdr>
          <w:left w:val="single" w:color="A9812F" w:sz="16" w:space="8"/>
        </w:pBdr>
        <w:spacing w:after="200" w:before="120" w:line="300"/>
        <w:ind w:left="504"/>
      </w:pPr>
      <w:r>
        <w:rPr>
          <w:i/>
          <w:iCs/>
          <w:color w:val="5B6478"/>
          <w:sz w:val="22"/>
          <w:szCs w:val="22"/>
        </w:rPr>
        <w:t xml:space="preserve">Seorang remaja usia 16 tahun datang terlambat pada usia kehamilan 28 minggu untuk kunjungan antenatal pertamanya, setelah sebelumnya menghindari fasilitas kesehatan karena takut dihakimi petugas dan tetangga. Pendekatan yang diajarkan Divisi Obginsos dimulai dari membangun kepercayaan tanpa menghakimi, melibatkan pekerja sosial rumah sakit untuk memastikan keberlanjutan pendidikannya, dan menyusun jadwal kunjungan susulan yang mempertimbangkan jadwal sekolahnya — bukan sekadar mengejar ketertinggalan pemeriksaan medis semata.</w:t>
      </w:r>
    </w:p>
    <w:p>
      <w:pPr>
        <w:pStyle w:val="Heading1"/>
        <w:pBdr>
          <w:bottom w:val="single" w:color="A9812F" w:sz="6" w:space="4"/>
        </w:pBdr>
        <w:spacing w:after="200" w:before="400"/>
      </w:pPr>
      <w:r>
        <w:t xml:space="preserve">BAB VIII — RINGKASAN KOMPETENSI YANG HARUS DICAPAI</w:t>
      </w:r>
    </w:p>
    <w:p>
      <w:pPr>
        <w:pStyle w:val="ListParagraph"/>
        <w:numPr>
          <w:ilvl w:val="0"/>
          <w:numId w:val="2"/>
        </w:numPr>
        <w:spacing w:after="100" w:line="290"/>
        <w:jc w:val="both"/>
      </w:pPr>
      <w:r>
        <w:rPr>
          <w:color w:val="161B2E"/>
          <w:sz w:val="22"/>
          <w:szCs w:val="22"/>
        </w:rPr>
        <w:t xml:space="preserve">Melaksanakan asuhan antenatal terstruktur dan berbasis penapisan risiko.</w:t>
      </w:r>
    </w:p>
    <w:p>
      <w:pPr>
        <w:pStyle w:val="ListParagraph"/>
        <w:numPr>
          <w:ilvl w:val="0"/>
          <w:numId w:val="2"/>
        </w:numPr>
        <w:spacing w:after="100" w:line="290"/>
        <w:jc w:val="both"/>
      </w:pPr>
      <w:r>
        <w:rPr>
          <w:color w:val="161B2E"/>
          <w:sz w:val="22"/>
          <w:szCs w:val="22"/>
        </w:rPr>
        <w:t xml:space="preserve">Membedakan keluhan fisiologis ringan dari tanda awal kondisi patologis.</w:t>
      </w:r>
    </w:p>
    <w:p>
      <w:pPr>
        <w:pStyle w:val="ListParagraph"/>
        <w:numPr>
          <w:ilvl w:val="0"/>
          <w:numId w:val="2"/>
        </w:numPr>
        <w:spacing w:after="100" w:line="290"/>
        <w:jc w:val="both"/>
      </w:pPr>
      <w:r>
        <w:rPr>
          <w:color w:val="161B2E"/>
          <w:sz w:val="22"/>
          <w:szCs w:val="22"/>
        </w:rPr>
        <w:t xml:space="preserve">Memberikan asuhan yang mempertimbangkan kebutuhan khusus kehamilan remaja.</w:t>
      </w:r>
    </w:p>
    <w:p>
      <w:pPr>
        <w:pStyle w:val="ListParagraph"/>
        <w:numPr>
          <w:ilvl w:val="0"/>
          <w:numId w:val="2"/>
        </w:numPr>
        <w:spacing w:after="100" w:line="290"/>
        <w:jc w:val="both"/>
      </w:pPr>
      <w:r>
        <w:rPr>
          <w:color w:val="161B2E"/>
          <w:sz w:val="22"/>
          <w:szCs w:val="22"/>
        </w:rPr>
        <w:t xml:space="preserve">Melakukan konseling dan pelayanan kontrasepsi yang menghormati otonomi pasien.</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478"/>
        <w:sz w:val="15"/>
        <w:szCs w:val="15"/>
      </w:rPr>
      <w:t xml:space="preserve">Halaman </w:t>
    </w:r>
    <w:r>
      <w:rPr>
        <w:color w:val="5B6478"/>
        <w:sz w:val="15"/>
        <w:szCs w:val="15"/>
      </w:rPr>
      <w:fldChar w:fldCharType="begin"/>
      <w:instrText xml:space="preserve">PAGE</w:instrText>
      <w:fldChar w:fldCharType="separate"/>
      <w:fldChar w:fldCharType="end"/>
    </w:r>
    <w:r>
      <w:rPr>
        <w:color w:val="5B6478"/>
        <w:sz w:val="15"/>
        <w:szCs w:val="15"/>
      </w:rPr>
      <w:t xml:space="preserve"> dari </w:t>
    </w:r>
    <w:r>
      <w:rPr>
        <w:color w:val="5B64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B6478"/>
        <w:sz w:val="15"/>
        <w:szCs w:val="15"/>
      </w:rPr>
      <w:t xml:space="preserve">Perpustakaan Digital ABBA · Buku 2 dari 15 — Seri Buku Ajar Inti Kompetensi Dokter Spesialis Obstetri dan Ginekologi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abstractNum w:abstractNumId="3" w15:restartNumberingAfterBreak="0">
    <w:multiLevelType w:val="hybridMultilevel"/>
    <w:lvl w:ilvl="0" w15:tentative="1">
      <w:start w:val="1"/>
      <w:numFmt w:val="decimal"/>
      <w:lvlText w:val="%1."/>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61B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mbria" w:cs="Cambria" w:eastAsia="Cambria" w:hAnsi="Cambria"/>
      <w:b/>
      <w:bCs/>
      <w:color w:val="1C2749"/>
      <w:sz w:val="30"/>
      <w:szCs w:val="30"/>
    </w:rPr>
  </w:style>
  <w:style w:type="paragraph" w:styleId="Heading2">
    <w:name w:val="Heading 2"/>
    <w:basedOn w:val="Normal"/>
    <w:next w:val="Normal"/>
    <w:qFormat/>
    <w:rPr>
      <w:rFonts w:ascii="Cambria" w:cs="Cambria" w:eastAsia="Cambria" w:hAnsi="Cambria"/>
      <w:b/>
      <w:bCs/>
      <w:color w:val="2C3A64"/>
      <w:sz w:val="25"/>
      <w:szCs w:val="25"/>
    </w:rPr>
  </w:style>
  <w:style w:type="paragraph" w:styleId="Heading3">
    <w:name w:val="Heading 3"/>
    <w:basedOn w:val="Normal"/>
    <w:next w:val="Normal"/>
    <w:qFormat/>
    <w:rPr>
      <w:rFonts w:ascii="Cambria" w:cs="Cambria" w:eastAsia="Cambria" w:hAnsi="Cambria"/>
      <w:b/>
      <w:bCs/>
      <w:color w:val="A981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2026-07-13T07:48:42.133Z</dcterms:created>
  <dcterms:modified xsi:type="dcterms:W3CDTF">2026-07-13T07:48:42.133Z</dcterms:modified>
</cp:coreProperties>
</file>

<file path=docProps/custom.xml><?xml version="1.0" encoding="utf-8"?>
<Properties xmlns="http://schemas.openxmlformats.org/officeDocument/2006/custom-properties" xmlns:vt="http://schemas.openxmlformats.org/officeDocument/2006/docPropsVTypes"/>
</file>