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p>
    <w:p>
      <w:pPr>
        <w:spacing w:after="80"/>
        <w:jc w:val="center"/>
      </w:pPr>
      <w:r>
        <w:rPr>
          <w:b/>
          <w:bCs/>
          <w:color w:val="A9812F"/>
          <w:spacing w:val="20"/>
          <w:sz w:val="20"/>
          <w:szCs w:val="20"/>
        </w:rPr>
        <w:t xml:space="preserve">PERPUSTAKAAN DIGITAL ABBA</w:t>
      </w:r>
    </w:p>
    <w:p>
      <w:pPr>
        <w:spacing w:after="600"/>
        <w:jc w:val="center"/>
      </w:pPr>
      <w:r>
        <w:rPr>
          <w:color w:val="5B6478"/>
          <w:sz w:val="18"/>
          <w:szCs w:val="18"/>
        </w:rPr>
        <w:t xml:space="preserve">Jl. Danau Kerinci Raya No. 9, Malang 65138</w:t>
      </w:r>
    </w:p>
    <w:p>
      <w:pPr>
        <w:spacing w:after="200"/>
        <w:jc w:val="center"/>
      </w:pPr>
      <w:r>
        <w:rPr>
          <w:color w:val="2C3A64"/>
          <w:spacing w:val="10"/>
          <w:sz w:val="18"/>
          <w:szCs w:val="18"/>
        </w:rPr>
        <w:t xml:space="preserve">BUKU 12 DARI 15 — SERI BUKU AJAR INTI KOMPETENSI DOKTER SPESIALIS OBSTETRI DAN GINEKOLOGI (SPOG)</w:t>
      </w:r>
    </w:p>
    <w:p>
      <w:pPr>
        <w:spacing w:after="500"/>
        <w:jc w:val="center"/>
      </w:pPr>
      <w:r>
        <w:rPr>
          <w:b/>
          <w:bCs/>
          <w:color w:val="1C2749"/>
          <w:sz w:val="40"/>
          <w:szCs w:val="40"/>
        </w:rPr>
        <w:t xml:space="preserve">Keterampilan Prosedural dan Kompetensi Teknis Spesialis Obstetri dan Ginekologi</w:t>
      </w:r>
    </w:p>
    <w:p>
      <w:pPr>
        <w:spacing w:after="60"/>
        <w:jc w:val="center"/>
      </w:pPr>
      <w:r>
        <w:rPr>
          <w:color w:val="5B6478"/>
          <w:sz w:val="20"/>
          <w:szCs w:val="20"/>
        </w:rPr>
        <w:t xml:space="preserve">Disusun oleh</w:t>
      </w:r>
    </w:p>
    <w:p>
      <w:pPr>
        <w:spacing w:after="900"/>
        <w:jc w:val="center"/>
      </w:pPr>
      <w:r>
        <w:rPr>
          <w:b/>
          <w:bCs/>
          <w:color w:val="161B2E"/>
          <w:sz w:val="22"/>
          <w:szCs w:val="22"/>
        </w:rPr>
        <w:t xml:space="preserve">Dr.dr. H. Budi Siswanto, Sp.OG., Subsp.Obginsos., SH., S.Kom.</w:t>
      </w:r>
    </w:p>
    <w:p>
      <w:pPr>
        <w:jc w:val="center"/>
      </w:pPr>
      <w:r>
        <w:rPr>
          <w:b/>
          <w:bCs/>
          <w:color w:val="A9812F"/>
          <w:sz w:val="20"/>
          <w:szCs w:val="20"/>
        </w:rPr>
        <w:t xml:space="preserve">2026</w:t>
      </w:r>
    </w:p>
    <w:p>
      <w:r>
        <w:br w:type="page"/>
      </w:r>
    </w:p>
    <w:p>
      <w:pPr>
        <w:pStyle w:val="Heading1"/>
        <w:pBdr>
          <w:bottom w:val="single" w:color="A9812F" w:sz="6" w:space="4"/>
        </w:pBdr>
        <w:spacing w:after="200" w:before="400"/>
      </w:pPr>
      <w:r>
        <w:t xml:space="preserve">BAB I — PENDAHULUAN</w:t>
      </w:r>
    </w:p>
    <w:p>
      <w:pPr>
        <w:spacing w:after="160" w:line="300"/>
        <w:jc w:val="both"/>
      </w:pPr>
      <w:r>
        <w:rPr>
          <w:color w:val="161B2E"/>
          <w:sz w:val="22"/>
          <w:szCs w:val="22"/>
        </w:rPr>
        <w:t xml:space="preserve">Buku ini menghimpun kompetensi prosedur klinis Dokter Spesialis Obstetri dan Ginekologi sebagaimana ditetapkan dalam Standar Kompetensi, melengkapi kompetensi penatalaksanaan klinis yang dibahas pada Buku 2 sampai 11. Kompetensi prosedural dikelompokkan berdasarkan kompleksitas dan risiko, selaras dengan Matriks Kewenangan Klinis Bertingkat (Dokumen 4, Klaster RS) yang memetakan tingkat supervisi setiap prosedur per tahun pendidikan.</w:t>
      </w:r>
    </w:p>
    <w:p>
      <w:pPr>
        <w:pStyle w:val="Heading1"/>
        <w:pBdr>
          <w:bottom w:val="single" w:color="A9812F" w:sz="6" w:space="4"/>
        </w:pBdr>
        <w:spacing w:after="200" w:before="400"/>
      </w:pPr>
      <w:r>
        <w:t xml:space="preserve">BAB II — PROSEDUR DIAGNOSTIK DASAR</w:t>
      </w:r>
    </w:p>
    <w:p>
      <w:pPr>
        <w:pStyle w:val="ListParagraph"/>
        <w:numPr>
          <w:ilvl w:val="0"/>
          <w:numId w:val="2"/>
        </w:numPr>
        <w:spacing w:after="100" w:line="290"/>
        <w:jc w:val="both"/>
      </w:pPr>
      <w:r>
        <w:rPr>
          <w:color w:val="161B2E"/>
          <w:sz w:val="22"/>
          <w:szCs w:val="22"/>
        </w:rPr>
        <w:t xml:space="preserve">Pemeriksaan ultrasonografi obstetri dan ginekologi dasar (skrining trimester, penilaian pertumbuhan janin, evaluasi massa panggul).</w:t>
      </w:r>
    </w:p>
    <w:p>
      <w:pPr>
        <w:pStyle w:val="ListParagraph"/>
        <w:numPr>
          <w:ilvl w:val="0"/>
          <w:numId w:val="2"/>
        </w:numPr>
        <w:spacing w:after="100" w:line="290"/>
        <w:jc w:val="both"/>
      </w:pPr>
      <w:r>
        <w:rPr>
          <w:color w:val="161B2E"/>
          <w:sz w:val="22"/>
          <w:szCs w:val="22"/>
        </w:rPr>
        <w:t xml:space="preserve">Pemeriksaan dalam dan penilaian serviks pada persalinan.</w:t>
      </w:r>
    </w:p>
    <w:p>
      <w:pPr>
        <w:pStyle w:val="ListParagraph"/>
        <w:numPr>
          <w:ilvl w:val="0"/>
          <w:numId w:val="2"/>
        </w:numPr>
        <w:spacing w:after="100" w:line="290"/>
        <w:jc w:val="both"/>
      </w:pPr>
      <w:r>
        <w:rPr>
          <w:color w:val="161B2E"/>
          <w:sz w:val="22"/>
          <w:szCs w:val="22"/>
        </w:rPr>
        <w:t xml:space="preserve">Pengambilan sampel sitologi serviks dan biopsi endometrium.</w:t>
      </w:r>
    </w:p>
    <w:p>
      <w:pPr>
        <w:pStyle w:val="ListParagraph"/>
        <w:numPr>
          <w:ilvl w:val="0"/>
          <w:numId w:val="2"/>
        </w:numPr>
        <w:spacing w:after="100" w:line="290"/>
        <w:jc w:val="both"/>
      </w:pPr>
      <w:r>
        <w:rPr>
          <w:color w:val="161B2E"/>
          <w:sz w:val="22"/>
          <w:szCs w:val="22"/>
        </w:rPr>
        <w:t xml:space="preserve">Interpretasi kardiotokografi (CTG) untuk penilaian kesejahteraan janin.</w:t>
      </w:r>
    </w:p>
    <w:p>
      <w:pPr>
        <w:pStyle w:val="Heading1"/>
        <w:pBdr>
          <w:bottom w:val="single" w:color="A9812F" w:sz="6" w:space="4"/>
        </w:pBdr>
        <w:spacing w:after="200" w:before="400"/>
      </w:pPr>
      <w:r>
        <w:t xml:space="preserve">BAB III — PROSEDUR OBSTETRI</w:t>
      </w:r>
    </w:p>
    <w:p>
      <w:pPr>
        <w:pStyle w:val="ListParagraph"/>
        <w:numPr>
          <w:ilvl w:val="0"/>
          <w:numId w:val="2"/>
        </w:numPr>
        <w:spacing w:after="100" w:line="290"/>
        <w:jc w:val="both"/>
      </w:pPr>
      <w:r>
        <w:rPr>
          <w:color w:val="161B2E"/>
          <w:sz w:val="22"/>
          <w:szCs w:val="22"/>
        </w:rPr>
        <w:t xml:space="preserve">Pertolongan persalinan pervaginam normal dan penjahitan ruptur perineum derajat I–II.</w:t>
      </w:r>
    </w:p>
    <w:p>
      <w:pPr>
        <w:pStyle w:val="ListParagraph"/>
        <w:numPr>
          <w:ilvl w:val="0"/>
          <w:numId w:val="2"/>
        </w:numPr>
        <w:spacing w:after="100" w:line="290"/>
        <w:jc w:val="both"/>
      </w:pPr>
      <w:r>
        <w:rPr>
          <w:color w:val="161B2E"/>
          <w:sz w:val="22"/>
          <w:szCs w:val="22"/>
        </w:rPr>
        <w:t xml:space="preserve">Persalinan operatif pervaginam (ekstraksi vakum/forsep) sesuai indikasi dan kompetensi yang telah dikuasai.</w:t>
      </w:r>
    </w:p>
    <w:p>
      <w:pPr>
        <w:pStyle w:val="ListParagraph"/>
        <w:numPr>
          <w:ilvl w:val="0"/>
          <w:numId w:val="2"/>
        </w:numPr>
        <w:spacing w:after="100" w:line="290"/>
        <w:jc w:val="both"/>
      </w:pPr>
      <w:r>
        <w:rPr>
          <w:color w:val="161B2E"/>
          <w:sz w:val="22"/>
          <w:szCs w:val="22"/>
        </w:rPr>
        <w:t xml:space="preserve">Seksio sesarea, mulai dari kasus tanpa penyulit hingga kasus dengan penyulit sesuai tahap kewenangan.</w:t>
      </w:r>
    </w:p>
    <w:p>
      <w:pPr>
        <w:pStyle w:val="ListParagraph"/>
        <w:numPr>
          <w:ilvl w:val="0"/>
          <w:numId w:val="2"/>
        </w:numPr>
        <w:spacing w:after="100" w:line="290"/>
        <w:jc w:val="both"/>
      </w:pPr>
      <w:r>
        <w:rPr>
          <w:color w:val="161B2E"/>
          <w:sz w:val="22"/>
          <w:szCs w:val="22"/>
        </w:rPr>
        <w:t xml:space="preserve">Penatalaksanaan aktif kala tiga dan tindakan pada perdarahan pascapersalinan (kompresi bimanual, tamponade uterus, hingga tindakan operatif lanjutan bila diperlukan).</w:t>
      </w:r>
    </w:p>
    <w:p>
      <w:pPr>
        <w:pStyle w:val="ListParagraph"/>
        <w:numPr>
          <w:ilvl w:val="0"/>
          <w:numId w:val="2"/>
        </w:numPr>
        <w:spacing w:after="100" w:line="290"/>
        <w:jc w:val="both"/>
      </w:pPr>
      <w:r>
        <w:rPr>
          <w:color w:val="161B2E"/>
          <w:sz w:val="22"/>
          <w:szCs w:val="22"/>
        </w:rPr>
        <w:t xml:space="preserve">Penjahitan ruptur perineum derajat III–IV dengan teknik lapis demi lapis.</w:t>
      </w:r>
    </w:p>
    <w:p>
      <w:pPr>
        <w:pStyle w:val="Heading1"/>
        <w:pBdr>
          <w:bottom w:val="single" w:color="A9812F" w:sz="6" w:space="4"/>
        </w:pBdr>
        <w:spacing w:after="200" w:before="400"/>
      </w:pPr>
      <w:r>
        <w:t xml:space="preserve">BAB IV — PROSEDUR GINEKOLOGI</w:t>
      </w:r>
    </w:p>
    <w:p>
      <w:pPr>
        <w:pStyle w:val="ListParagraph"/>
        <w:numPr>
          <w:ilvl w:val="0"/>
          <w:numId w:val="2"/>
        </w:numPr>
        <w:spacing w:after="100" w:line="290"/>
        <w:jc w:val="both"/>
      </w:pPr>
      <w:r>
        <w:rPr>
          <w:color w:val="161B2E"/>
          <w:sz w:val="22"/>
          <w:szCs w:val="22"/>
        </w:rPr>
        <w:t xml:space="preserve">Kuretase dan prosedur ginekologi minor (insisi-drainase abses Bartholin, marsupialisasi).</w:t>
      </w:r>
    </w:p>
    <w:p>
      <w:pPr>
        <w:pStyle w:val="ListParagraph"/>
        <w:numPr>
          <w:ilvl w:val="0"/>
          <w:numId w:val="2"/>
        </w:numPr>
        <w:spacing w:after="100" w:line="290"/>
        <w:jc w:val="both"/>
      </w:pPr>
      <w:r>
        <w:rPr>
          <w:color w:val="161B2E"/>
          <w:sz w:val="22"/>
          <w:szCs w:val="22"/>
        </w:rPr>
        <w:t xml:space="preserve">Histeroskopi dan laparoskopi diagnostik dasar.</w:t>
      </w:r>
    </w:p>
    <w:p>
      <w:pPr>
        <w:pStyle w:val="ListParagraph"/>
        <w:numPr>
          <w:ilvl w:val="0"/>
          <w:numId w:val="2"/>
        </w:numPr>
        <w:spacing w:after="100" w:line="290"/>
        <w:jc w:val="both"/>
      </w:pPr>
      <w:r>
        <w:rPr>
          <w:color w:val="161B2E"/>
          <w:sz w:val="22"/>
          <w:szCs w:val="22"/>
        </w:rPr>
        <w:t xml:space="preserve">Laparotomi ginekologi elektif (miomektomi, kistektomi, salpingektomi).</w:t>
      </w:r>
    </w:p>
    <w:p>
      <w:pPr>
        <w:pStyle w:val="ListParagraph"/>
        <w:numPr>
          <w:ilvl w:val="0"/>
          <w:numId w:val="2"/>
        </w:numPr>
        <w:spacing w:after="100" w:line="290"/>
        <w:jc w:val="both"/>
      </w:pPr>
      <w:r>
        <w:rPr>
          <w:color w:val="161B2E"/>
          <w:sz w:val="22"/>
          <w:szCs w:val="22"/>
        </w:rPr>
        <w:t xml:space="preserve">Prosedur ablatif dan eksisional pada lesi prakanker serviks (krioterapi, LEEP/eksisi loop elektrosurgikal) sesuai kompetensi spesialis.</w:t>
      </w:r>
    </w:p>
    <w:p>
      <w:pPr>
        <w:pStyle w:val="Heading1"/>
        <w:pBdr>
          <w:bottom w:val="single" w:color="A9812F" w:sz="6" w:space="4"/>
        </w:pBdr>
        <w:spacing w:after="200" w:before="400"/>
      </w:pPr>
      <w:r>
        <w:t xml:space="preserve">BAB V — PRINSIP KESELAMATAN PROSEDURAL</w:t>
      </w:r>
    </w:p>
    <w:p>
      <w:pPr>
        <w:spacing w:after="160" w:line="300"/>
        <w:jc w:val="both"/>
      </w:pPr>
      <w:r>
        <w:rPr>
          <w:color w:val="161B2E"/>
          <w:sz w:val="22"/>
          <w:szCs w:val="22"/>
        </w:rPr>
        <w:t xml:space="preserve">Setiap prosedur dalam buku ini wajib dilaksanakan dengan menerapkan prinsip keselamatan pasien yang dibahas pada Buku 1: verifikasi identitas, time-out sebelum tindakan, kewaspadaan standar, dan dokumentasi lengkap. Kompetensi prosedural tidak dapat dinilai semata dari keberhasilan teknis, melainkan juga dari kepatuhan terhadap prinsip keselamatan di sepanjang proses.</w:t>
      </w:r>
    </w:p>
    <w:p>
      <w:pPr>
        <w:pStyle w:val="Heading1"/>
        <w:pBdr>
          <w:bottom w:val="single" w:color="A9812F" w:sz="6" w:space="4"/>
        </w:pBdr>
        <w:spacing w:after="200" w:before="400"/>
      </w:pPr>
      <w:r>
        <w:t xml:space="preserve">BAB VI — KONTRIBUSI DIVISI OBGINSOS</w:t>
      </w:r>
    </w:p>
    <w:p>
      <w:pPr>
        <w:pStyle w:val="Heading2"/>
        <w:spacing w:after="140" w:before="280"/>
      </w:pPr>
      <w:r>
        <w:t xml:space="preserve">A. Deskripsi</w:t>
      </w:r>
    </w:p>
    <w:p>
      <w:pPr>
        <w:spacing w:after="160" w:line="300"/>
        <w:jc w:val="both"/>
      </w:pPr>
      <w:r>
        <w:rPr>
          <w:color w:val="161B2E"/>
          <w:sz w:val="22"/>
          <w:szCs w:val="22"/>
        </w:rPr>
        <w:t xml:space="preserve">Kompetensi prosedural yang diajarkan pada buku ini mengasumsikan ketersediaan fasilitas, alat, dan tenaga pendukung yang memadai — asumsi yang tidak selalu berlaku di seluruh Indonesia. Dokter Spesialis yang kelak bertugas di daerah dengan keterbatasan fasilitas menghadapi dilema nyata: menunda tindakan hingga fasilitas ideal tersedia, atau bertindak dengan sumber daya yang ada demi menyelamatkan nyawa. Divisi Obginsos mengajarkan Anda menavigasi dilema ini dengan penalaran klinis yang bertanggung jawab, bukan sekadar mengikuti standar ideal secara kaku.</w:t>
      </w:r>
    </w:p>
    <w:p>
      <w:pPr>
        <w:pStyle w:val="Heading2"/>
        <w:spacing w:after="140" w:before="280"/>
      </w:pPr>
      <w:r>
        <w:t xml:space="preserve">B. Keterampilan Prosedural dalam Keterbatasan Sumber Daya</w:t>
      </w:r>
    </w:p>
    <w:p>
      <w:pPr>
        <w:spacing w:after="160" w:line="300"/>
        <w:jc w:val="both"/>
      </w:pPr>
      <w:r>
        <w:rPr>
          <w:color w:val="161B2E"/>
          <w:sz w:val="22"/>
          <w:szCs w:val="22"/>
        </w:rPr>
        <w:t xml:space="preserve">Materi ini membahas prinsip adaptasi prosedur klinis pada fasilitas dengan sumber daya terbatas tanpa mengorbankan keselamatan pasien: prioritisasi tindakan penyelamatan jiwa saat rujukan tidak memungkinkan, penguasaan teknik alternatif ketika peralatan ideal tidak tersedia, dan yang tidak kalah penting — pengenalan batas kompetensi diri secara jujur untuk menentukan kapan risiko bertindak tanpa fasilitas memadai lebih besar dibanding risiko menunda dan merujuk. Divisi Obginsos menekankan bahwa keadilan akses terhadap prosedur yang aman adalah bagian dari misi sosial kedokteran, dan advokasi untuk perbaikan fasilitas di tempat tugas kelak adalah bagian dari tanggung jawab profesional jangka panjang.</w:t>
      </w:r>
    </w:p>
    <w:p>
      <w:pPr>
        <w:pStyle w:val="Heading2"/>
        <w:spacing w:after="140" w:before="280"/>
      </w:pPr>
      <w:r>
        <w:t xml:space="preserve">C. Ilustrasi Kasus Lapangan</w:t>
      </w:r>
    </w:p>
    <w:p>
      <w:pPr>
        <w:pBdr>
          <w:left w:val="single" w:color="A9812F" w:sz="16" w:space="8"/>
        </w:pBdr>
        <w:spacing w:after="200" w:before="120" w:line="300"/>
        <w:ind w:left="504"/>
      </w:pPr>
      <w:r>
        <w:rPr>
          <w:i/>
          <w:iCs/>
          <w:color w:val="5B6478"/>
          <w:sz w:val="22"/>
          <w:szCs w:val="22"/>
        </w:rPr>
        <w:t xml:space="preserve">Seorang peserta didik yang menjalani rotasi di RS Pendidikan Satelit di kabupaten terpencil dihadapkan pada kasus perdarahan pascapersalinan berat tanpa ketersediaan darah transfusi yang memadai di bank darah setempat, dan RS rujukan tersier berjarak lebih dari 4 jam. Pembimbingan yang diberikan Divisi Obginsos menekankan pengambilan keputusan bertingkat: memaksimalkan tindakan konservatif dan operatif penyelamatan yang tersedia di tempat, mengaktifkan jejaring donor darah komunitas sebagai solusi sementara, dan mendokumentasikan keterbatasan fasilitas ini sebagai bahan advokasi sistem, bukan sekadar catatan kegagalan individual.</w:t>
      </w:r>
    </w:p>
    <w:p>
      <w:pPr>
        <w:pStyle w:val="Heading1"/>
        <w:pBdr>
          <w:bottom w:val="single" w:color="A9812F" w:sz="6" w:space="4"/>
        </w:pBdr>
        <w:spacing w:after="200" w:before="400"/>
      </w:pPr>
      <w:r>
        <w:t xml:space="preserve">BAB VII — RINGKASAN KOMPETENSI YANG HARUS DICAPAI</w:t>
      </w:r>
    </w:p>
    <w:p>
      <w:pPr>
        <w:pStyle w:val="ListParagraph"/>
        <w:numPr>
          <w:ilvl w:val="0"/>
          <w:numId w:val="2"/>
        </w:numPr>
        <w:spacing w:after="100" w:line="290"/>
        <w:jc w:val="both"/>
      </w:pPr>
      <w:r>
        <w:rPr>
          <w:color w:val="161B2E"/>
          <w:sz w:val="22"/>
          <w:szCs w:val="22"/>
        </w:rPr>
        <w:t xml:space="preserve">Menguasai prosedur diagnostik dasar obstetri dan ginekologi.</w:t>
      </w:r>
    </w:p>
    <w:p>
      <w:pPr>
        <w:pStyle w:val="ListParagraph"/>
        <w:numPr>
          <w:ilvl w:val="0"/>
          <w:numId w:val="2"/>
        </w:numPr>
        <w:spacing w:after="100" w:line="290"/>
        <w:jc w:val="both"/>
      </w:pPr>
      <w:r>
        <w:rPr>
          <w:color w:val="161B2E"/>
          <w:sz w:val="22"/>
          <w:szCs w:val="22"/>
        </w:rPr>
        <w:t xml:space="preserve">Melaksanakan prosedur obstetri dari persalinan normal hingga seksio sesarea dengan penyulit sesuai tahap kewenangan.</w:t>
      </w:r>
    </w:p>
    <w:p>
      <w:pPr>
        <w:pStyle w:val="ListParagraph"/>
        <w:numPr>
          <w:ilvl w:val="0"/>
          <w:numId w:val="2"/>
        </w:numPr>
        <w:spacing w:after="100" w:line="290"/>
        <w:jc w:val="both"/>
      </w:pPr>
      <w:r>
        <w:rPr>
          <w:color w:val="161B2E"/>
          <w:sz w:val="22"/>
          <w:szCs w:val="22"/>
        </w:rPr>
        <w:t xml:space="preserve">Melaksanakan prosedur ginekologi minor hingga laparotomi elektif.</w:t>
      </w:r>
    </w:p>
    <w:p>
      <w:pPr>
        <w:pStyle w:val="ListParagraph"/>
        <w:numPr>
          <w:ilvl w:val="0"/>
          <w:numId w:val="2"/>
        </w:numPr>
        <w:spacing w:after="100" w:line="290"/>
        <w:jc w:val="both"/>
      </w:pPr>
      <w:r>
        <w:rPr>
          <w:color w:val="161B2E"/>
          <w:sz w:val="22"/>
          <w:szCs w:val="22"/>
        </w:rPr>
        <w:t xml:space="preserve">Menerapkan prinsip keselamatan pasien secara konsisten pada setiap prosedur.</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478"/>
        <w:sz w:val="15"/>
        <w:szCs w:val="15"/>
      </w:rPr>
      <w:t xml:space="preserve">Halaman </w:t>
    </w:r>
    <w:r>
      <w:rPr>
        <w:color w:val="5B6478"/>
        <w:sz w:val="15"/>
        <w:szCs w:val="15"/>
      </w:rPr>
      <w:fldChar w:fldCharType="begin"/>
      <w:instrText xml:space="preserve">PAGE</w:instrText>
      <w:fldChar w:fldCharType="separate"/>
      <w:fldChar w:fldCharType="end"/>
    </w:r>
    <w:r>
      <w:rPr>
        <w:color w:val="5B6478"/>
        <w:sz w:val="15"/>
        <w:szCs w:val="15"/>
      </w:rPr>
      <w:t xml:space="preserve"> dari </w:t>
    </w:r>
    <w:r>
      <w:rPr>
        <w:color w:val="5B6478"/>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B6478"/>
        <w:sz w:val="15"/>
        <w:szCs w:val="15"/>
      </w:rPr>
      <w:t xml:space="preserve">Perpustakaan Digital ABBA · Buku 12 dari 15 — Seri Buku Ajar Inti Kompetensi Dokter Spesialis Obstetri dan Ginekologi (SpOG)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20" w:hanging="260"/>
      </w:pPr>
    </w:lvl>
  </w:abstractNum>
  <w:abstractNum w:abstractNumId="3" w15:restartNumberingAfterBreak="0">
    <w:multiLevelType w:val="hybridMultilevel"/>
    <w:lvl w:ilvl="0" w15:tentative="1">
      <w:start w:val="1"/>
      <w:numFmt w:val="decimal"/>
      <w:lvlText w:val="%1."/>
      <w:lvlJc w:val="left"/>
      <w:pPr>
        <w:ind w:left="5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61B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Cambria" w:cs="Cambria" w:eastAsia="Cambria" w:hAnsi="Cambria"/>
      <w:b/>
      <w:bCs/>
      <w:color w:val="1C2749"/>
      <w:sz w:val="30"/>
      <w:szCs w:val="30"/>
    </w:rPr>
  </w:style>
  <w:style w:type="paragraph" w:styleId="Heading2">
    <w:name w:val="Heading 2"/>
    <w:basedOn w:val="Normal"/>
    <w:next w:val="Normal"/>
    <w:qFormat/>
    <w:rPr>
      <w:rFonts w:ascii="Cambria" w:cs="Cambria" w:eastAsia="Cambria" w:hAnsi="Cambria"/>
      <w:b/>
      <w:bCs/>
      <w:color w:val="2C3A64"/>
      <w:sz w:val="25"/>
      <w:szCs w:val="25"/>
    </w:rPr>
  </w:style>
  <w:style w:type="paragraph" w:styleId="Heading3">
    <w:name w:val="Heading 3"/>
    <w:basedOn w:val="Normal"/>
    <w:next w:val="Normal"/>
    <w:qFormat/>
    <w:rPr>
      <w:rFonts w:ascii="Cambria" w:cs="Cambria" w:eastAsia="Cambria" w:hAnsi="Cambria"/>
      <w:b/>
      <w:bCs/>
      <w:color w:val="A9812F"/>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2026-07-13T20:30:10.271Z</dcterms:created>
  <dcterms:modified xsi:type="dcterms:W3CDTF">2026-07-13T20:30:10.271Z</dcterms:modified>
</cp:coreProperties>
</file>

<file path=docProps/custom.xml><?xml version="1.0" encoding="utf-8"?>
<Properties xmlns="http://schemas.openxmlformats.org/officeDocument/2006/custom-properties" xmlns:vt="http://schemas.openxmlformats.org/officeDocument/2006/docPropsVTypes"/>
</file>