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600"/>
      </w:pPr>
    </w:p>
    <w:p>
      <w:pPr>
        <w:spacing w:after="80"/>
        <w:jc w:val="center"/>
      </w:pPr>
      <w:r>
        <w:rPr>
          <w:b/>
          <w:bCs/>
          <w:color w:val="A9812F"/>
          <w:spacing w:val="20"/>
          <w:sz w:val="20"/>
          <w:szCs w:val="20"/>
        </w:rPr>
        <w:t xml:space="preserve">PERPUSTAKAAN DIGITAL ABBA</w:t>
      </w:r>
    </w:p>
    <w:p>
      <w:pPr>
        <w:spacing w:after="600"/>
        <w:jc w:val="center"/>
      </w:pPr>
      <w:r>
        <w:rPr>
          <w:color w:val="5B6478"/>
          <w:sz w:val="18"/>
          <w:szCs w:val="18"/>
        </w:rPr>
        <w:t xml:space="preserve">Jl. Danau Kerinci Raya No. 9, Malang 65138</w:t>
      </w:r>
    </w:p>
    <w:p>
      <w:pPr>
        <w:spacing w:after="200"/>
        <w:jc w:val="center"/>
      </w:pPr>
      <w:r>
        <w:rPr>
          <w:color w:val="2C3A64"/>
          <w:spacing w:val="10"/>
          <w:sz w:val="18"/>
          <w:szCs w:val="18"/>
        </w:rPr>
        <w:t xml:space="preserve">BUKU 1 DARI 15 — SERI BUKU AJAR INTI KOMPETENSI DOKTER SPESIALIS OBSTETRI DAN GINEKOLOGI (SPOG)</w:t>
      </w:r>
    </w:p>
    <w:p>
      <w:pPr>
        <w:spacing w:after="500"/>
        <w:jc w:val="center"/>
      </w:pPr>
      <w:r>
        <w:rPr>
          <w:b/>
          <w:bCs/>
          <w:color w:val="1C2749"/>
          <w:sz w:val="40"/>
          <w:szCs w:val="40"/>
        </w:rPr>
        <w:t xml:space="preserve">Keselamatan Pasien dan Mutu Pelayanan dalam Praktik Obstetri dan Ginekologi</w:t>
      </w:r>
    </w:p>
    <w:p>
      <w:pPr>
        <w:spacing w:after="60"/>
        <w:jc w:val="center"/>
      </w:pPr>
      <w:r>
        <w:rPr>
          <w:color w:val="5B6478"/>
          <w:sz w:val="20"/>
          <w:szCs w:val="20"/>
        </w:rPr>
        <w:t xml:space="preserve">Disusun oleh</w:t>
      </w:r>
    </w:p>
    <w:p>
      <w:pPr>
        <w:spacing w:after="900"/>
        <w:jc w:val="center"/>
      </w:pPr>
      <w:r>
        <w:rPr>
          <w:b/>
          <w:bCs/>
          <w:color w:val="161B2E"/>
          <w:sz w:val="22"/>
          <w:szCs w:val="22"/>
        </w:rPr>
        <w:t xml:space="preserve">Dr.dr. H. Budi Siswanto, Sp.OG., Subsp.Obginsos., SH., S.Kom.</w:t>
      </w:r>
    </w:p>
    <w:p>
      <w:pPr>
        <w:jc w:val="center"/>
      </w:pPr>
      <w:r>
        <w:rPr>
          <w:b/>
          <w:bCs/>
          <w:color w:val="A9812F"/>
          <w:sz w:val="20"/>
          <w:szCs w:val="20"/>
        </w:rPr>
        <w:t xml:space="preserve">2026</w:t>
      </w:r>
    </w:p>
    <w:p>
      <w:r>
        <w:br w:type="page"/>
      </w:r>
    </w:p>
    <w:p>
      <w:pPr>
        <w:pStyle w:val="Heading1"/>
        <w:pBdr>
          <w:bottom w:val="single" w:color="A9812F" w:sz="6" w:space="4"/>
        </w:pBdr>
        <w:spacing w:after="200" w:before="400"/>
      </w:pPr>
      <w:r>
        <w:t xml:space="preserve">BAB I — PENDAHULUAN</w:t>
      </w:r>
    </w:p>
    <w:p>
      <w:pPr>
        <w:spacing w:after="160" w:line="300"/>
        <w:jc w:val="both"/>
      </w:pPr>
      <w:r>
        <w:rPr>
          <w:color w:val="161B2E"/>
          <w:sz w:val="22"/>
          <w:szCs w:val="22"/>
        </w:rPr>
        <w:t xml:space="preserve">Area Kompetensi Keselamatan Pasien dan Mutu Pelayanan menjadi fondasi bagi seluruh praktik klinis Dokter Spesialis Obstetri dan Ginekologi. Berbeda dari kompetensi klinis yang bersifat spesifik penyakit, kompetensi ini bersifat lintas-kasus dan melekat pada setiap interaksi dengan pasien, mulai dari identifikasi insiden hingga partisipasi dalam program peningkatan mutu berkelanjutan.</w:t>
      </w:r>
    </w:p>
    <w:p>
      <w:pPr>
        <w:pStyle w:val="Heading1"/>
        <w:pBdr>
          <w:bottom w:val="single" w:color="A9812F" w:sz="6" w:space="4"/>
        </w:pBdr>
        <w:spacing w:after="200" w:before="400"/>
      </w:pPr>
      <w:r>
        <w:t xml:space="preserve">BAB II — IDENTIFIKASI, PELAPORAN, DAN PENCEGAHAN INSIDEN</w:t>
      </w:r>
    </w:p>
    <w:p>
      <w:pPr>
        <w:spacing w:after="160" w:line="300"/>
        <w:jc w:val="both"/>
      </w:pPr>
      <w:r>
        <w:rPr>
          <w:color w:val="161B2E"/>
          <w:sz w:val="22"/>
          <w:szCs w:val="22"/>
        </w:rPr>
        <w:t xml:space="preserve">Dokter Spesialis dituntut mampu mendeteksi dan melaporkan insiden keselamatan pasien secara tepat waktu, serta berperan aktif dalam pencegahan proaktif melalui analisis risiko. Prinsip operasionalnya mencakup pelaporan insiden klinis sesuai Standar Prosedur Operasional fasilitas layanan kesehatan, penyerahan laporan dalam rentang waktu yang ditetapkan institusi (lazimnya dalam 24 jam), dan keterlibatan rutin dalam kegiatan analisis mode kegagalan dan dampaknya (Failure Mode and Effects Analysis) di unit kerja.</w:t>
      </w:r>
    </w:p>
    <w:p>
      <w:pPr>
        <w:pStyle w:val="ListParagraph"/>
        <w:numPr>
          <w:ilvl w:val="0"/>
          <w:numId w:val="2"/>
        </w:numPr>
        <w:spacing w:after="100" w:line="290"/>
        <w:jc w:val="both"/>
      </w:pPr>
      <w:r>
        <w:rPr>
          <w:color w:val="161B2E"/>
          <w:sz w:val="22"/>
          <w:szCs w:val="22"/>
        </w:rPr>
        <w:t xml:space="preserve">Mengenali kategori insiden: kejadian nyaris cedera (near-miss), kejadian tidak cedera, kejadian tidak diharapkan, dan kejadian sentinel.</w:t>
      </w:r>
    </w:p>
    <w:p>
      <w:pPr>
        <w:pStyle w:val="ListParagraph"/>
        <w:numPr>
          <w:ilvl w:val="0"/>
          <w:numId w:val="2"/>
        </w:numPr>
        <w:spacing w:after="100" w:line="290"/>
        <w:jc w:val="both"/>
      </w:pPr>
      <w:r>
        <w:rPr>
          <w:color w:val="161B2E"/>
          <w:sz w:val="22"/>
          <w:szCs w:val="22"/>
        </w:rPr>
        <w:t xml:space="preserve">Memahami alur pelaporan internal rumah sakit dan kewajiban dokumentasi.</w:t>
      </w:r>
    </w:p>
    <w:p>
      <w:pPr>
        <w:pStyle w:val="ListParagraph"/>
        <w:numPr>
          <w:ilvl w:val="0"/>
          <w:numId w:val="2"/>
        </w:numPr>
        <w:spacing w:after="100" w:line="290"/>
        <w:jc w:val="both"/>
      </w:pPr>
      <w:r>
        <w:rPr>
          <w:color w:val="161B2E"/>
          <w:sz w:val="22"/>
          <w:szCs w:val="22"/>
        </w:rPr>
        <w:t xml:space="preserve">Berpartisipasi dalam forum keselamatan pasien di unit kerja, dengan sikap terbuka dan berorientasi pembelajaran, bukan mencari kesalahan individu.</w:t>
      </w:r>
    </w:p>
    <w:p>
      <w:pPr>
        <w:pStyle w:val="Heading1"/>
        <w:pBdr>
          <w:bottom w:val="single" w:color="A9812F" w:sz="6" w:space="4"/>
        </w:pBdr>
        <w:spacing w:after="200" w:before="400"/>
      </w:pPr>
      <w:r>
        <w:t xml:space="preserve">BAB III — PENERAPAN PRINSIP KESELAMATAN DALAM PROSEDUR KLINIS</w:t>
      </w:r>
    </w:p>
    <w:p>
      <w:pPr>
        <w:spacing w:after="160" w:line="300"/>
        <w:jc w:val="both"/>
      </w:pPr>
      <w:r>
        <w:rPr>
          <w:color w:val="161B2E"/>
          <w:sz w:val="22"/>
          <w:szCs w:val="22"/>
        </w:rPr>
        <w:t xml:space="preserve">Setiap prosedur klinis dan operatif dalam praktik obstetri-ginekologi wajib menerapkan standar keselamatan pasien secara konsisten, meliputi verifikasi identitas pasien sebelum tindakan (prinsip pencocokan identitas berlapis), kewaspadaan standar (hand hygiene, alat pelindung diri, pencegahan infeksi silang), dan prosedur time-out sebelum tindakan operatif dimulai sebagai pemeriksaan akhir tim terhadap identitas pasien, lokasi/sisi tindakan, dan jenis prosedur yang akan dilakukan. Target luaran yang diharapkan adalah nol kejadian sentinel yang diakibatkan oleh pelanggaran prosedur keselamatan.</w:t>
      </w:r>
    </w:p>
    <w:p>
      <w:pPr>
        <w:pStyle w:val="Heading1"/>
        <w:pBdr>
          <w:bottom w:val="single" w:color="A9812F" w:sz="6" w:space="4"/>
        </w:pBdr>
        <w:spacing w:after="200" w:before="400"/>
      </w:pPr>
      <w:r>
        <w:t xml:space="preserve">BAB IV — MEMBANGUN BUDAYA KESELAMATAN</w:t>
      </w:r>
    </w:p>
    <w:p>
      <w:pPr>
        <w:spacing w:after="160" w:line="300"/>
        <w:jc w:val="both"/>
      </w:pPr>
      <w:r>
        <w:rPr>
          <w:color w:val="161B2E"/>
          <w:sz w:val="22"/>
          <w:szCs w:val="22"/>
        </w:rPr>
        <w:t xml:space="preserve">Dokter Spesialis diharapkan menjadi penggerak iklim kerja yang aman melalui kepemimpinan positif: mendorong pelaporan insiden secara terbuka tanpa hukuman (just culture), memberikan umpan balik yang bersifat edukatif dan berbasis pembelajaran, serta secara konsisten menghindari sikap menyalahkan staf lain (blame culture) dalam diskusi insiden. Budaya semacam ini terbukti meningkatkan pelaporan insiden secara jujur, yang justru menjadi prasyarat bagi perbaikan sistem yang efektif.</w:t>
      </w:r>
    </w:p>
    <w:p>
      <w:pPr>
        <w:pStyle w:val="Heading1"/>
        <w:pBdr>
          <w:bottom w:val="single" w:color="A9812F" w:sz="6" w:space="4"/>
        </w:pBdr>
        <w:spacing w:after="200" w:before="400"/>
      </w:pPr>
      <w:r>
        <w:t xml:space="preserve">BAB V — SISTEM PERINGATAN DINI DAN ALAT BANTU KEPUTUSAN KLINIS</w:t>
      </w:r>
    </w:p>
    <w:p>
      <w:pPr>
        <w:spacing w:after="160" w:line="300"/>
        <w:jc w:val="both"/>
      </w:pPr>
      <w:r>
        <w:rPr>
          <w:color w:val="161B2E"/>
          <w:sz w:val="22"/>
          <w:szCs w:val="22"/>
        </w:rPr>
        <w:t xml:space="preserve">Penggunaan Early Warning System (EWS) — termasuk adaptasinya untuk kondisi obstetri (Modified Early Obstetric Warning System) — dan Clinical Decision Support Tools (CDST) menjadi bagian integral praktik sehari-hari. Dokter Spesialis wajib mampu menginterpretasikan skor peringatan dini secara akurat, mendokumentasikan penggunaan alat bantu keputusan klinis dalam rekam medis, dan berpartisipasi dalam evaluasi berkala implementasi sistem tersebut di unit kerjanya.</w:t>
      </w:r>
    </w:p>
    <w:p>
      <w:pPr>
        <w:pStyle w:val="Heading1"/>
        <w:pBdr>
          <w:bottom w:val="single" w:color="A9812F" w:sz="6" w:space="4"/>
        </w:pBdr>
        <w:spacing w:after="200" w:before="400"/>
      </w:pPr>
      <w:r>
        <w:t xml:space="preserve">BAB VI — TELAAH KRITIS LITERATUR DAN PRAKTIK BERBASIS BUKTI</w:t>
      </w:r>
    </w:p>
    <w:p>
      <w:pPr>
        <w:spacing w:after="160" w:line="300"/>
        <w:jc w:val="both"/>
      </w:pPr>
      <w:r>
        <w:rPr>
          <w:color w:val="161B2E"/>
          <w:sz w:val="22"/>
          <w:szCs w:val="22"/>
        </w:rPr>
        <w:t xml:space="preserve">Kompetensi ini menuntut kemampuan melakukan telaah kritis (critical appraisal) terhadap artikel ilmiah menggunakan instrumen terstandar, menyusun ringkasan bukti terstruktur menggunakan kerangka PICO (Population, Intervention, Comparison, Outcome), dan menerjemahkan hasil telaah menjadi perubahan praktik klinis nyata — didokumentasikan melalui revisi prosedur atau panduan praktik klinis lokal, dengan siklus evaluasi Plan-Do-Study-Act (PDSA) untuk memastikan perubahan tersebut membawa perbaikan indikator mutu.</w:t>
      </w:r>
    </w:p>
    <w:p>
      <w:pPr>
        <w:pStyle w:val="Heading1"/>
        <w:pBdr>
          <w:bottom w:val="single" w:color="A9812F" w:sz="6" w:space="4"/>
        </w:pBdr>
        <w:spacing w:after="200" w:before="400"/>
      </w:pPr>
      <w:r>
        <w:t xml:space="preserve">BAB VII — AUDIT KLINIS, MANAJEMEN RISIKO, DAN PROGRAM PENINGKATAN MUTU</w:t>
      </w:r>
    </w:p>
    <w:p>
      <w:pPr>
        <w:spacing w:after="160" w:line="300"/>
        <w:jc w:val="both"/>
      </w:pPr>
      <w:r>
        <w:rPr>
          <w:color w:val="161B2E"/>
          <w:sz w:val="22"/>
          <w:szCs w:val="22"/>
        </w:rPr>
        <w:t xml:space="preserve">Dokter Spesialis berpartisipasi aktif dalam audit klinis internal — baik sebagai penyusun/peninjau instrumen audit, penganalisis hasil, maupun pelaksana tindak lanjut — sebagai bagian dari siklus Continuous Quality Improvement (CQI) institusi. Partisipasi ini tidak bersifat pasif, melainkan menuntut kontribusi nyata berupa rekomendasi perbaikan yang terdokumentasi dan termonitor implementasinya.</w:t>
      </w:r>
    </w:p>
    <w:p>
      <w:pPr>
        <w:pStyle w:val="Heading1"/>
        <w:pBdr>
          <w:bottom w:val="single" w:color="A9812F" w:sz="6" w:space="4"/>
        </w:pBdr>
        <w:spacing w:after="200" w:before="400"/>
      </w:pPr>
      <w:r>
        <w:t xml:space="preserve">BAB VIII — PENGELOLAAN KOMPREHENSIF PASIEN DENGAN KONDISI KRONIK</w:t>
      </w:r>
    </w:p>
    <w:p>
      <w:pPr>
        <w:spacing w:after="160" w:line="300"/>
        <w:jc w:val="both"/>
      </w:pPr>
      <w:r>
        <w:rPr>
          <w:color w:val="161B2E"/>
          <w:sz w:val="22"/>
          <w:szCs w:val="22"/>
        </w:rPr>
        <w:t xml:space="preserve">Untuk pasien dengan kondisi ginekologi atau obstetri kronik (mis. endometriosis kronik, hipertensi kronik dalam kehamilan), Dokter Spesialis menyusun rencana manajemen yang mencakup dimensi promotif (edukasi gaya hidup), preventif, kuratif, dan rehabilitatif secara terintegrasi — bukan semata penanganan episodik terhadap gejala yang muncul.</w:t>
      </w:r>
    </w:p>
    <w:p>
      <w:pPr>
        <w:pStyle w:val="Heading1"/>
        <w:pBdr>
          <w:bottom w:val="single" w:color="A9812F" w:sz="6" w:space="4"/>
        </w:pBdr>
        <w:spacing w:after="200" w:before="400"/>
      </w:pPr>
      <w:r>
        <w:t xml:space="preserve">BAB IX — KONTRIBUSI DIVISI OBGINSOS</w:t>
      </w:r>
    </w:p>
    <w:p>
      <w:pPr>
        <w:pStyle w:val="Heading2"/>
        <w:spacing w:after="140" w:before="280"/>
      </w:pPr>
      <w:r>
        <w:t xml:space="preserve">A. Deskripsi</w:t>
      </w:r>
    </w:p>
    <w:p>
      <w:pPr>
        <w:spacing w:after="160" w:line="300"/>
        <w:jc w:val="both"/>
      </w:pPr>
      <w:r>
        <w:rPr>
          <w:color w:val="161B2E"/>
          <w:sz w:val="22"/>
          <w:szCs w:val="22"/>
        </w:rPr>
        <w:t xml:space="preserve">Keselamatan pasien sering dibayangkan sebagai persoalan teknis: checklist, protokol, dan kepatuhan prosedural. Namun data insiden keselamatan pasien di berbagai fasilitas kesehatan Indonesia menunjukkan pola yang tidak acak — pasien dari kelompok sosial-ekonomi rentan cenderung mengalami keterlambatan deteksi dan penanganan insiden lebih tinggi, bukan karena mereka lebih rentan secara biologis, melainkan karena hambatan akses, komunikasi, dan advokasi diri yang lebih lemah. Sebagai calon Dokter Spesialis yang dididik oleh Divisi Obginsos, Anda dituntut melihat keselamatan pasien bukan semata sebagai kepatuhan individual terhadap SPO, melainkan sebagai keadilan sistemik yang harus diperjuangkan secara aktif untuk setiap pasien, termasuk yang paling sulit menyuarakan haknya.</w:t>
      </w:r>
    </w:p>
    <w:p>
      <w:pPr>
        <w:pStyle w:val="Heading2"/>
        <w:spacing w:after="140" w:before="280"/>
      </w:pPr>
      <w:r>
        <w:t xml:space="preserve">B. Kesenjangan Sosial dalam Keselamatan Pasien Obstetri dan Ginekologi</w:t>
      </w:r>
    </w:p>
    <w:p>
      <w:pPr>
        <w:spacing w:after="160" w:line="300"/>
        <w:jc w:val="both"/>
      </w:pPr>
      <w:r>
        <w:rPr>
          <w:color w:val="161B2E"/>
          <w:sz w:val="22"/>
          <w:szCs w:val="22"/>
        </w:rPr>
        <w:t xml:space="preserve">Beberapa mekanisme dokumentasi menunjukkan bagaimana determinan sosial memengaruhi keselamatan pasien pada praktik obstetri-ginekologi: pertama, keterlambatan pelaporan gejala oleh pasien dengan literasi kesehatan rendah, yang membuat sistem peringatan dini (EWS) baru terpicu pada tahap yang sudah lebih lanjut; kedua, hambatan bahasa dan budaya yang membuat proses verifikasi identitas dan informed consent menjadi formalitas belaka, bukan pemahaman yang bermakna; ketiga, keterbatasan akses transportasi yang menunda rujukan pada kasus kegawatdaruratan, sehingga "waktu emas" penanganan insiden habis sebelum pasien tiba di fasilitas rujukan.</w:t>
      </w:r>
    </w:p>
    <w:p>
      <w:pPr>
        <w:spacing w:after="160" w:line="300"/>
        <w:jc w:val="both"/>
      </w:pPr>
      <w:r>
        <w:rPr>
          <w:color w:val="161B2E"/>
          <w:sz w:val="22"/>
          <w:szCs w:val="22"/>
        </w:rPr>
        <w:t xml:space="preserve">Divisi Obginsos menekankan bahwa audit insiden keselamatan pasien yang baik tidak berhenti pada pertanyaan "apa yang terjadi secara klinis", tetapi juga menelusuri "apakah faktor sosial-ekonomi pasien berkontribusi pada keterlambatan pengenalan atau penanganan insiden ini". Prinsip budaya keselamatan tanpa menyalahkan (just culture) yang dibahas pada Bab IV juga berlaku terhadap sistem: institusi wajib introspeksi apabila pola insiden berulang pada kelompok pasien tertentu, bukan hanya mengevaluasi kinerja individu petugas.</w:t>
      </w:r>
    </w:p>
    <w:p>
      <w:pPr>
        <w:pStyle w:val="Heading2"/>
        <w:spacing w:after="140" w:before="280"/>
      </w:pPr>
      <w:r>
        <w:t xml:space="preserve">C. Ilustrasi Kasus Lapangan</w:t>
      </w:r>
    </w:p>
    <w:p>
      <w:pPr>
        <w:pBdr>
          <w:left w:val="single" w:color="A9812F" w:sz="16" w:space="8"/>
        </w:pBdr>
        <w:spacing w:after="200" w:before="120" w:line="300"/>
        <w:ind w:left="504"/>
      </w:pPr>
      <w:r>
        <w:rPr>
          <w:i/>
          <w:iCs/>
          <w:color w:val="5B6478"/>
          <w:sz w:val="22"/>
          <w:szCs w:val="22"/>
        </w:rPr>
        <w:t xml:space="preserve">Seorang ibu, buruh harian lepas, datang ke Puskesmas dengan keluhan pusing dan pandangan kabur pada usia kehamilan 34 minggu, namun memilih pulang karena tidak mampu meninggalkan pekerjaan hari itu. Dua hari kemudian ia dibawa ke IGD RS Pendidikan dalam kondisi kejang. Audit insiden oleh tim yang dibimbing Divisi Obginsos tidak berhenti pada evaluasi kecepatan penanganan eklamsia di IGD, tetapi juga menelusuri mengapa tanda bahaya pada kunjungan Puskesmas tidak menghasilkan rujukan segera — ditemukan bahwa petugas tidak mengeksplorasi hambatan ekonomi pasien untuk kembali berobat, dan tidak ada mekanisme pendampingan sosial yang dapat diaktifkan saat itu. Rekomendasi perbaikan yang dihasilkan bukan hanya revisi SPO klinis, melainkan juga pengadaan skema pendampingan kader kesehatan bagi ibu hamil berisiko dari keluarga kurang mampu.</w:t>
      </w:r>
    </w:p>
    <w:p>
      <w:pPr>
        <w:pStyle w:val="Heading1"/>
        <w:pBdr>
          <w:bottom w:val="single" w:color="A9812F" w:sz="6" w:space="4"/>
        </w:pBdr>
        <w:spacing w:after="200" w:before="400"/>
      </w:pPr>
      <w:r>
        <w:t xml:space="preserve">BAB X — RINGKASAN KOMPETENSI YANG HARUS DICAPAI</w:t>
      </w:r>
    </w:p>
    <w:p>
      <w:pPr>
        <w:pStyle w:val="ListParagraph"/>
        <w:numPr>
          <w:ilvl w:val="0"/>
          <w:numId w:val="2"/>
        </w:numPr>
        <w:spacing w:after="100" w:line="290"/>
        <w:jc w:val="both"/>
      </w:pPr>
      <w:r>
        <w:rPr>
          <w:color w:val="161B2E"/>
          <w:sz w:val="22"/>
          <w:szCs w:val="22"/>
        </w:rPr>
        <w:t xml:space="preserve">Mengidentifikasi, melaporkan, dan berperan dalam pencegahan proaktif insiden keselamatan pasien.</w:t>
      </w:r>
    </w:p>
    <w:p>
      <w:pPr>
        <w:pStyle w:val="ListParagraph"/>
        <w:numPr>
          <w:ilvl w:val="0"/>
          <w:numId w:val="2"/>
        </w:numPr>
        <w:spacing w:after="100" w:line="290"/>
        <w:jc w:val="both"/>
      </w:pPr>
      <w:r>
        <w:rPr>
          <w:color w:val="161B2E"/>
          <w:sz w:val="22"/>
          <w:szCs w:val="22"/>
        </w:rPr>
        <w:t xml:space="preserve">Menerapkan verifikasi identitas, kewaspadaan standar, dan time-out pada seluruh prosedur klinis.</w:t>
      </w:r>
    </w:p>
    <w:p>
      <w:pPr>
        <w:pStyle w:val="ListParagraph"/>
        <w:numPr>
          <w:ilvl w:val="0"/>
          <w:numId w:val="2"/>
        </w:numPr>
        <w:spacing w:after="100" w:line="290"/>
        <w:jc w:val="both"/>
      </w:pPr>
      <w:r>
        <w:rPr>
          <w:color w:val="161B2E"/>
          <w:sz w:val="22"/>
          <w:szCs w:val="22"/>
        </w:rPr>
        <w:t xml:space="preserve">Mempromosikan budaya keselamatan yang terbuka dan bebas dari sikap menyalahkan.</w:t>
      </w:r>
    </w:p>
    <w:p>
      <w:pPr>
        <w:pStyle w:val="ListParagraph"/>
        <w:numPr>
          <w:ilvl w:val="0"/>
          <w:numId w:val="2"/>
        </w:numPr>
        <w:spacing w:after="100" w:line="290"/>
        <w:jc w:val="both"/>
      </w:pPr>
      <w:r>
        <w:rPr>
          <w:color w:val="161B2E"/>
          <w:sz w:val="22"/>
          <w:szCs w:val="22"/>
        </w:rPr>
        <w:t xml:space="preserve">Menggunakan dan mengevaluasi sistem peringatan dini serta alat bantu keputusan klinis.</w:t>
      </w:r>
    </w:p>
    <w:p>
      <w:pPr>
        <w:pStyle w:val="ListParagraph"/>
        <w:numPr>
          <w:ilvl w:val="0"/>
          <w:numId w:val="2"/>
        </w:numPr>
        <w:spacing w:after="100" w:line="290"/>
        <w:jc w:val="both"/>
      </w:pPr>
      <w:r>
        <w:rPr>
          <w:color w:val="161B2E"/>
          <w:sz w:val="22"/>
          <w:szCs w:val="22"/>
        </w:rPr>
        <w:t xml:space="preserve">Melakukan telaah kritis literatur dan menerapkannya dalam perubahan praktik berbasis bukti.</w:t>
      </w:r>
    </w:p>
    <w:p>
      <w:pPr>
        <w:pStyle w:val="ListParagraph"/>
        <w:numPr>
          <w:ilvl w:val="0"/>
          <w:numId w:val="2"/>
        </w:numPr>
        <w:spacing w:after="100" w:line="290"/>
        <w:jc w:val="both"/>
      </w:pPr>
      <w:r>
        <w:rPr>
          <w:color w:val="161B2E"/>
          <w:sz w:val="22"/>
          <w:szCs w:val="22"/>
        </w:rPr>
        <w:t xml:space="preserve">Berpartisipasi aktif dalam audit klinis dan program peningkatan mutu berkelanjutan.</w:t>
      </w:r>
    </w:p>
    <w:p>
      <w:pPr>
        <w:pStyle w:val="ListParagraph"/>
        <w:numPr>
          <w:ilvl w:val="0"/>
          <w:numId w:val="2"/>
        </w:numPr>
        <w:spacing w:after="100" w:line="290"/>
        <w:jc w:val="both"/>
      </w:pPr>
      <w:r>
        <w:rPr>
          <w:color w:val="161B2E"/>
          <w:sz w:val="22"/>
          <w:szCs w:val="22"/>
        </w:rPr>
        <w:t xml:space="preserve">Menyusun rencana manajemen komprehensif bagi pasien dengan kondisi kronik.</w:t>
      </w:r>
    </w:p>
    <w:sectPr>
      <w:headerReference w:type="default" r:id="rId7"/>
      <w:footerReference w:type="default" r:id="rId8"/>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478"/>
        <w:sz w:val="15"/>
        <w:szCs w:val="15"/>
      </w:rPr>
      <w:t xml:space="preserve">Halaman </w:t>
    </w:r>
    <w:r>
      <w:rPr>
        <w:color w:val="5B6478"/>
        <w:sz w:val="15"/>
        <w:szCs w:val="15"/>
      </w:rPr>
      <w:fldChar w:fldCharType="begin"/>
      <w:instrText xml:space="preserve">PAGE</w:instrText>
      <w:fldChar w:fldCharType="separate"/>
      <w:fldChar w:fldCharType="end"/>
    </w:r>
    <w:r>
      <w:rPr>
        <w:color w:val="5B6478"/>
        <w:sz w:val="15"/>
        <w:szCs w:val="15"/>
      </w:rPr>
      <w:t xml:space="preserve"> dari </w:t>
    </w:r>
    <w:r>
      <w:rPr>
        <w:color w:val="5B6478"/>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5B6478"/>
        <w:sz w:val="15"/>
        <w:szCs w:val="15"/>
      </w:rPr>
      <w:t xml:space="preserve">Perpustakaan Digital ABBA · Buku 1 dari 15 — Seri Buku Ajar Inti Kompetensi Dokter Spesialis Obstetri dan Ginekologi (SpOG)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20" w:hanging="260"/>
      </w:pPr>
    </w:lvl>
  </w:abstractNum>
  <w:abstractNum w:abstractNumId="3" w15:restartNumberingAfterBreak="0">
    <w:multiLevelType w:val="hybridMultilevel"/>
    <w:lvl w:ilvl="0" w15:tentative="1">
      <w:start w:val="1"/>
      <w:numFmt w:val="decimal"/>
      <w:lvlText w:val="%1."/>
      <w:lvlJc w:val="left"/>
      <w:pPr>
        <w:ind w:left="5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61B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Cambria" w:cs="Cambria" w:eastAsia="Cambria" w:hAnsi="Cambria"/>
      <w:b/>
      <w:bCs/>
      <w:color w:val="1C2749"/>
      <w:sz w:val="30"/>
      <w:szCs w:val="30"/>
    </w:rPr>
  </w:style>
  <w:style w:type="paragraph" w:styleId="Heading2">
    <w:name w:val="Heading 2"/>
    <w:basedOn w:val="Normal"/>
    <w:next w:val="Normal"/>
    <w:qFormat/>
    <w:rPr>
      <w:rFonts w:ascii="Cambria" w:cs="Cambria" w:eastAsia="Cambria" w:hAnsi="Cambria"/>
      <w:b/>
      <w:bCs/>
      <w:color w:val="2C3A64"/>
      <w:sz w:val="25"/>
      <w:szCs w:val="25"/>
    </w:rPr>
  </w:style>
  <w:style w:type="paragraph" w:styleId="Heading3">
    <w:name w:val="Heading 3"/>
    <w:basedOn w:val="Normal"/>
    <w:next w:val="Normal"/>
    <w:qFormat/>
    <w:rPr>
      <w:rFonts w:ascii="Cambria" w:cs="Cambria" w:eastAsia="Cambria" w:hAnsi="Cambria"/>
      <w:b/>
      <w:bCs/>
      <w:color w:val="A9812F"/>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2026-07-13T20:30:10.062Z</dcterms:created>
  <dcterms:modified xsi:type="dcterms:W3CDTF">2026-07-13T20:30:10.063Z</dcterms:modified>
</cp:coreProperties>
</file>

<file path=docProps/custom.xml><?xml version="1.0" encoding="utf-8"?>
<Properties xmlns="http://schemas.openxmlformats.org/officeDocument/2006/custom-properties" xmlns:vt="http://schemas.openxmlformats.org/officeDocument/2006/docPropsVTypes"/>
</file>