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p>
    <w:p>
      <w:pPr>
        <w:spacing w:after="80"/>
        <w:jc w:val="center"/>
      </w:pPr>
      <w:r>
        <w:rPr>
          <w:b/>
          <w:bCs/>
          <w:color w:val="A9812F"/>
          <w:spacing w:val="20"/>
          <w:sz w:val="20"/>
          <w:szCs w:val="20"/>
        </w:rPr>
        <w:t xml:space="preserve">PERPUSTAKAAN DIGITAL ABBA</w:t>
      </w:r>
    </w:p>
    <w:p>
      <w:pPr>
        <w:spacing w:after="600"/>
        <w:jc w:val="center"/>
      </w:pPr>
      <w:r>
        <w:rPr>
          <w:color w:val="5B6478"/>
          <w:sz w:val="18"/>
          <w:szCs w:val="18"/>
        </w:rPr>
        <w:t xml:space="preserve">Jl. Danau Kerinci Raya No. 9, Malang 65138</w:t>
      </w:r>
    </w:p>
    <w:p>
      <w:pPr>
        <w:spacing w:after="200"/>
        <w:jc w:val="center"/>
      </w:pPr>
      <w:r>
        <w:rPr>
          <w:color w:val="2C3A64"/>
          <w:spacing w:val="10"/>
          <w:sz w:val="18"/>
          <w:szCs w:val="18"/>
        </w:rPr>
        <w:t xml:space="preserve">BUKU 11 DARI 15 — SERI BUKU AJAR INTI KOMPETENSI DOKTER SPESIALIS OBSTETRI DAN GINEKOLOGI (SPOG)</w:t>
      </w:r>
    </w:p>
    <w:p>
      <w:pPr>
        <w:spacing w:after="500"/>
        <w:jc w:val="center"/>
      </w:pPr>
      <w:r>
        <w:rPr>
          <w:b/>
          <w:bCs/>
          <w:color w:val="1C2749"/>
          <w:sz w:val="40"/>
          <w:szCs w:val="40"/>
        </w:rPr>
        <w:t xml:space="preserve">Kedokteran Sosial, Mediko-Legal, Kontrasepsi, dan Kesehatan Reproduksi Remaja (Tingkat Spesialis)</w:t>
      </w:r>
    </w:p>
    <w:p>
      <w:pPr>
        <w:spacing w:after="60"/>
        <w:jc w:val="center"/>
      </w:pPr>
      <w:r>
        <w:rPr>
          <w:color w:val="5B6478"/>
          <w:sz w:val="20"/>
          <w:szCs w:val="20"/>
        </w:rPr>
        <w:t xml:space="preserve">Disusun oleh</w:t>
      </w:r>
    </w:p>
    <w:p>
      <w:pPr>
        <w:spacing w:after="900"/>
        <w:jc w:val="center"/>
      </w:pPr>
      <w:r>
        <w:rPr>
          <w:b/>
          <w:bCs/>
          <w:color w:val="161B2E"/>
          <w:sz w:val="22"/>
          <w:szCs w:val="22"/>
        </w:rPr>
        <w:t xml:space="preserve">Dr.dr. H. Budi Siswanto, Sp.OG., Subsp.Obginsos., SH., S.Kom.</w:t>
      </w:r>
    </w:p>
    <w:p>
      <w:pPr>
        <w:jc w:val="center"/>
      </w:pPr>
      <w:r>
        <w:rPr>
          <w:b/>
          <w:bCs/>
          <w:color w:val="A9812F"/>
          <w:sz w:val="20"/>
          <w:szCs w:val="20"/>
        </w:rPr>
        <w:t xml:space="preserve">2026</w:t>
      </w:r>
    </w:p>
    <w:p>
      <w:r>
        <w:br w:type="page"/>
      </w:r>
    </w:p>
    <w:p>
      <w:pPr>
        <w:pStyle w:val="Heading1"/>
        <w:pBdr>
          <w:bottom w:val="single" w:color="A9812F" w:sz="6" w:space="4"/>
        </w:pBdr>
        <w:spacing w:after="200" w:before="400"/>
      </w:pPr>
      <w:r>
        <w:t xml:space="preserve">BAB I — PENDAHULUAN</w:t>
      </w:r>
    </w:p>
    <w:p>
      <w:pPr>
        <w:pBdr>
          <w:left w:val="single" w:color="A9812F" w:sz="16" w:space="8"/>
        </w:pBdr>
        <w:spacing w:after="200" w:before="120" w:line="300"/>
        <w:ind w:left="504"/>
      </w:pPr>
      <w:r>
        <w:rPr>
          <w:i/>
          <w:iCs/>
          <w:color w:val="5B6478"/>
          <w:sz w:val="22"/>
          <w:szCs w:val="22"/>
        </w:rPr>
        <w:t xml:space="preserve">Buku ini disusun dan menjadi tanggung jawab langsung Divisi Obstetri Ginekologi Sosial (Obginsos), dan merupakan buku pamungkas (capstone) dari seri ini — tempat seluruh benang perspektif sosial-medis yang telah ditenun pada bab "Kontribusi Divisi Obginsos" di Buku 1 sampai Buku 10 disatukan menjadi kerangka berpikir yang utuh.</w:t>
      </w:r>
    </w:p>
    <w:p>
      <w:pPr>
        <w:spacing w:after="160" w:line="300"/>
        <w:jc w:val="both"/>
      </w:pPr>
      <w:r>
        <w:rPr>
          <w:color w:val="161B2E"/>
          <w:sz w:val="22"/>
          <w:szCs w:val="22"/>
        </w:rPr>
        <w:t xml:space="preserve">Buku ini membahas kompetensi lintas-bidang yang bersifat sosial, hukum, dan biopsikososial yang harus dikuasai setiap Dokter Spesialis Obstetri dan Ginekologi pada tingkat dasar — berbeda dari kedalaman subspesialisasi Obstetri Ginekologi Sosial (Obginsos) yang dibahas dalam seri dokumen tersendiri. Buku ini memastikan setiap Dokter Spesialis memiliki kepekaan sosial dan pemahaman hukum praktik yang memadai, terlepas dari apakah kelak menempuh subspesialisasi Obginsos atau tidak. Karena posisinya sebagai buku pamungkas, seluruh isi Buku 11 — bukan hanya satu bab di dalamnya — disusun langsung oleh Divisi Obginsos.</w:t>
      </w:r>
    </w:p>
    <w:p>
      <w:pPr>
        <w:pStyle w:val="Heading1"/>
        <w:pBdr>
          <w:bottom w:val="single" w:color="A9812F" w:sz="6" w:space="4"/>
        </w:pBdr>
        <w:spacing w:after="200" w:before="400"/>
      </w:pPr>
      <w:r>
        <w:t xml:space="preserve">BAB II — RUANG LINGKUP</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08"/>
      </w:tblGrid>
      <w:tr>
        <w:trPr>
          <w:tblHeader/>
        </w:trPr>
        <w:tc>
          <w:tcPr>
            <w:tcW w:type="dxa" w:w="3008"/>
            <w:shd w:fill="2C3A64" w:val="clear"/>
            <w:tcMar>
              <w:top w:type="dxa" w:w="100"/>
              <w:left w:type="dxa" w:w="100"/>
              <w:bottom w:type="dxa" w:w="100"/>
              <w:right w:type="dxa" w:w="100"/>
            </w:tcMar>
          </w:tcPr>
          <w:p>
            <w:r>
              <w:rPr>
                <w:b/>
                <w:bCs/>
                <w:color w:val="FFFFFF"/>
                <w:sz w:val="19"/>
                <w:szCs w:val="19"/>
              </w:rPr>
              <w:t xml:space="preserve">No.</w:t>
            </w:r>
          </w:p>
        </w:tc>
        <w:tc>
          <w:tcPr>
            <w:tcW w:type="dxa" w:w="3008"/>
            <w:shd w:fill="2C3A64" w:val="clear"/>
            <w:tcMar>
              <w:top w:type="dxa" w:w="100"/>
              <w:left w:type="dxa" w:w="100"/>
              <w:bottom w:type="dxa" w:w="100"/>
              <w:right w:type="dxa" w:w="100"/>
            </w:tcMar>
          </w:tcPr>
          <w:p>
            <w:r>
              <w:rPr>
                <w:b/>
                <w:bCs/>
                <w:color w:val="FFFFFF"/>
                <w:sz w:val="19"/>
                <w:szCs w:val="19"/>
              </w:rPr>
              <w:t xml:space="preserve">Kondisi/Topik</w:t>
            </w:r>
          </w:p>
        </w:tc>
        <w:tc>
          <w:tcPr>
            <w:tcW w:type="dxa" w:w="3008"/>
            <w:shd w:fill="2C3A64" w:val="clear"/>
            <w:tcMar>
              <w:top w:type="dxa" w:w="100"/>
              <w:left w:type="dxa" w:w="100"/>
              <w:bottom w:type="dxa" w:w="100"/>
              <w:right w:type="dxa" w:w="100"/>
            </w:tcMar>
          </w:tcPr>
          <w:p>
            <w:r>
              <w:rPr>
                <w:b/>
                <w:bCs/>
                <w:color w:val="FFFFFF"/>
                <w:sz w:val="19"/>
                <w:szCs w:val="19"/>
              </w:rPr>
              <w:t xml:space="preserve">Catatan</w:t>
            </w:r>
          </w:p>
        </w:tc>
      </w:tr>
      <w:tr>
        <w:tc>
          <w:tcPr>
            <w:tcW w:type="dxa" w:w="3008"/>
            <w:shd w:fill="F5F6FA" w:val="clear"/>
            <w:tcMar>
              <w:top w:type="dxa" w:w="90"/>
              <w:left w:type="dxa" w:w="100"/>
              <w:bottom w:type="dxa" w:w="90"/>
              <w:right w:type="dxa" w:w="100"/>
            </w:tcMar>
          </w:tcPr>
          <w:p>
            <w:r>
              <w:rPr>
                <w:color w:val="161B2E"/>
                <w:sz w:val="19"/>
                <w:szCs w:val="19"/>
              </w:rPr>
              <w:t xml:space="preserve">67</w:t>
            </w:r>
          </w:p>
        </w:tc>
        <w:tc>
          <w:tcPr>
            <w:tcW w:type="dxa" w:w="3008"/>
            <w:shd w:fill="F5F6FA" w:val="clear"/>
            <w:tcMar>
              <w:top w:type="dxa" w:w="90"/>
              <w:left w:type="dxa" w:w="100"/>
              <w:bottom w:type="dxa" w:w="90"/>
              <w:right w:type="dxa" w:w="100"/>
            </w:tcMar>
          </w:tcPr>
          <w:p>
            <w:r>
              <w:rPr>
                <w:color w:val="161B2E"/>
                <w:sz w:val="19"/>
                <w:szCs w:val="19"/>
              </w:rPr>
              <w:t xml:space="preserve">Kasus mediko-legal potensial</w:t>
            </w:r>
          </w:p>
        </w:tc>
        <w:tc>
          <w:tcPr>
            <w:tcW w:type="dxa" w:w="3008"/>
            <w:shd w:fill="F5F6FA" w:val="clear"/>
            <w:tcMar>
              <w:top w:type="dxa" w:w="90"/>
              <w:left w:type="dxa" w:w="100"/>
              <w:bottom w:type="dxa" w:w="90"/>
              <w:right w:type="dxa" w:w="100"/>
            </w:tcMar>
          </w:tcPr>
          <w:p>
            <w:r>
              <w:rPr>
                <w:color w:val="161B2E"/>
                <w:sz w:val="19"/>
                <w:szCs w:val="19"/>
              </w:rPr>
              <w:t xml:space="preserve">Situasi klinis dengan implikasi hukum.</w:t>
            </w:r>
          </w:p>
        </w:tc>
      </w:tr>
      <w:tr>
        <w:tc>
          <w:tcPr>
            <w:tcW w:type="dxa" w:w="3008"/>
            <w:shd w:fill="FFFFFF" w:val="clear"/>
            <w:tcMar>
              <w:top w:type="dxa" w:w="90"/>
              <w:left w:type="dxa" w:w="100"/>
              <w:bottom w:type="dxa" w:w="90"/>
              <w:right w:type="dxa" w:w="100"/>
            </w:tcMar>
          </w:tcPr>
          <w:p>
            <w:r>
              <w:rPr>
                <w:color w:val="161B2E"/>
                <w:sz w:val="19"/>
                <w:szCs w:val="19"/>
              </w:rPr>
              <w:t xml:space="preserve">68</w:t>
            </w:r>
          </w:p>
        </w:tc>
        <w:tc>
          <w:tcPr>
            <w:tcW w:type="dxa" w:w="3008"/>
            <w:shd w:fill="FFFFFF" w:val="clear"/>
            <w:tcMar>
              <w:top w:type="dxa" w:w="90"/>
              <w:left w:type="dxa" w:w="100"/>
              <w:bottom w:type="dxa" w:w="90"/>
              <w:right w:type="dxa" w:w="100"/>
            </w:tcMar>
          </w:tcPr>
          <w:p>
            <w:r>
              <w:rPr>
                <w:color w:val="161B2E"/>
                <w:sz w:val="19"/>
                <w:szCs w:val="19"/>
              </w:rPr>
              <w:t xml:space="preserve">Pendekatan biopsikososial holistik</w:t>
            </w:r>
          </w:p>
        </w:tc>
        <w:tc>
          <w:tcPr>
            <w:tcW w:type="dxa" w:w="3008"/>
            <w:shd w:fill="FFFFFF" w:val="clear"/>
            <w:tcMar>
              <w:top w:type="dxa" w:w="90"/>
              <w:left w:type="dxa" w:w="100"/>
              <w:bottom w:type="dxa" w:w="90"/>
              <w:right w:type="dxa" w:w="100"/>
            </w:tcMar>
          </w:tcPr>
          <w:p>
            <w:r>
              <w:rPr>
                <w:color w:val="161B2E"/>
                <w:sz w:val="19"/>
                <w:szCs w:val="19"/>
              </w:rPr>
              <w:t xml:space="preserve">Pendekatan komprehensif melampaui aspek biomedis semata.</w:t>
            </w:r>
          </w:p>
        </w:tc>
      </w:tr>
      <w:tr>
        <w:tc>
          <w:tcPr>
            <w:tcW w:type="dxa" w:w="3008"/>
            <w:shd w:fill="F5F6FA" w:val="clear"/>
            <w:tcMar>
              <w:top w:type="dxa" w:w="90"/>
              <w:left w:type="dxa" w:w="100"/>
              <w:bottom w:type="dxa" w:w="90"/>
              <w:right w:type="dxa" w:w="100"/>
            </w:tcMar>
          </w:tcPr>
          <w:p>
            <w:r>
              <w:rPr>
                <w:color w:val="161B2E"/>
                <w:sz w:val="19"/>
                <w:szCs w:val="19"/>
              </w:rPr>
              <w:t xml:space="preserve">69</w:t>
            </w:r>
          </w:p>
        </w:tc>
        <w:tc>
          <w:tcPr>
            <w:tcW w:type="dxa" w:w="3008"/>
            <w:shd w:fill="F5F6FA" w:val="clear"/>
            <w:tcMar>
              <w:top w:type="dxa" w:w="90"/>
              <w:left w:type="dxa" w:w="100"/>
              <w:bottom w:type="dxa" w:w="90"/>
              <w:right w:type="dxa" w:w="100"/>
            </w:tcMar>
          </w:tcPr>
          <w:p>
            <w:r>
              <w:rPr>
                <w:color w:val="161B2E"/>
                <w:sz w:val="19"/>
                <w:szCs w:val="19"/>
              </w:rPr>
              <w:t xml:space="preserve">Kehamilan remaja</w:t>
            </w:r>
          </w:p>
        </w:tc>
        <w:tc>
          <w:tcPr>
            <w:tcW w:type="dxa" w:w="3008"/>
            <w:shd w:fill="F5F6FA" w:val="clear"/>
            <w:tcMar>
              <w:top w:type="dxa" w:w="90"/>
              <w:left w:type="dxa" w:w="100"/>
              <w:bottom w:type="dxa" w:w="90"/>
              <w:right w:type="dxa" w:w="100"/>
            </w:tcMar>
          </w:tcPr>
          <w:p>
            <w:r>
              <w:rPr>
                <w:color w:val="161B2E"/>
                <w:sz w:val="19"/>
                <w:szCs w:val="19"/>
              </w:rPr>
              <w:t xml:space="preserve">Dibahas dari sisi klinis pada Buku 2; di sini dari sisi biopsikososial dan hukum.</w:t>
            </w:r>
          </w:p>
        </w:tc>
      </w:tr>
      <w:tr>
        <w:tc>
          <w:tcPr>
            <w:tcW w:type="dxa" w:w="3008"/>
            <w:shd w:fill="FFFFFF" w:val="clear"/>
            <w:tcMar>
              <w:top w:type="dxa" w:w="90"/>
              <w:left w:type="dxa" w:w="100"/>
              <w:bottom w:type="dxa" w:w="90"/>
              <w:right w:type="dxa" w:w="100"/>
            </w:tcMar>
          </w:tcPr>
          <w:p>
            <w:r>
              <w:rPr>
                <w:color w:val="161B2E"/>
                <w:sz w:val="19"/>
                <w:szCs w:val="19"/>
              </w:rPr>
              <w:t xml:space="preserve">70</w:t>
            </w:r>
          </w:p>
        </w:tc>
        <w:tc>
          <w:tcPr>
            <w:tcW w:type="dxa" w:w="3008"/>
            <w:shd w:fill="FFFFFF" w:val="clear"/>
            <w:tcMar>
              <w:top w:type="dxa" w:w="90"/>
              <w:left w:type="dxa" w:w="100"/>
              <w:bottom w:type="dxa" w:w="90"/>
              <w:right w:type="dxa" w:w="100"/>
            </w:tcMar>
          </w:tcPr>
          <w:p>
            <w:r>
              <w:rPr>
                <w:color w:val="161B2E"/>
                <w:sz w:val="19"/>
                <w:szCs w:val="19"/>
              </w:rPr>
              <w:t xml:space="preserve">Kontrasepsi</w:t>
            </w:r>
          </w:p>
        </w:tc>
        <w:tc>
          <w:tcPr>
            <w:tcW w:type="dxa" w:w="3008"/>
            <w:shd w:fill="FFFFFF" w:val="clear"/>
            <w:tcMar>
              <w:top w:type="dxa" w:w="90"/>
              <w:left w:type="dxa" w:w="100"/>
              <w:bottom w:type="dxa" w:w="90"/>
              <w:right w:type="dxa" w:w="100"/>
            </w:tcMar>
          </w:tcPr>
          <w:p>
            <w:r>
              <w:rPr>
                <w:color w:val="161B2E"/>
                <w:sz w:val="19"/>
                <w:szCs w:val="19"/>
              </w:rPr>
              <w:t xml:space="preserve">Pengaturan fertilitas wanita usia reproduksi.</w:t>
            </w:r>
          </w:p>
        </w:tc>
      </w:tr>
      <w:tr>
        <w:tc>
          <w:tcPr>
            <w:tcW w:type="dxa" w:w="3008"/>
            <w:shd w:fill="F5F6FA" w:val="clear"/>
            <w:tcMar>
              <w:top w:type="dxa" w:w="90"/>
              <w:left w:type="dxa" w:w="100"/>
              <w:bottom w:type="dxa" w:w="90"/>
              <w:right w:type="dxa" w:w="100"/>
            </w:tcMar>
          </w:tcPr>
          <w:p>
            <w:r>
              <w:rPr>
                <w:color w:val="161B2E"/>
                <w:sz w:val="19"/>
                <w:szCs w:val="19"/>
              </w:rPr>
              <w:t xml:space="preserve">73</w:t>
            </w:r>
          </w:p>
        </w:tc>
        <w:tc>
          <w:tcPr>
            <w:tcW w:type="dxa" w:w="3008"/>
            <w:shd w:fill="F5F6FA" w:val="clear"/>
            <w:tcMar>
              <w:top w:type="dxa" w:w="90"/>
              <w:left w:type="dxa" w:w="100"/>
              <w:bottom w:type="dxa" w:w="90"/>
              <w:right w:type="dxa" w:w="100"/>
            </w:tcMar>
          </w:tcPr>
          <w:p>
            <w:r>
              <w:rPr>
                <w:color w:val="161B2E"/>
                <w:sz w:val="19"/>
                <w:szCs w:val="19"/>
              </w:rPr>
              <w:t xml:space="preserve">Vaksinasi pada kehamilan</w:t>
            </w:r>
          </w:p>
        </w:tc>
        <w:tc>
          <w:tcPr>
            <w:tcW w:type="dxa" w:w="3008"/>
            <w:shd w:fill="F5F6FA" w:val="clear"/>
            <w:tcMar>
              <w:top w:type="dxa" w:w="90"/>
              <w:left w:type="dxa" w:w="100"/>
              <w:bottom w:type="dxa" w:w="90"/>
              <w:right w:type="dxa" w:w="100"/>
            </w:tcMar>
          </w:tcPr>
          <w:p>
            <w:r>
              <w:rPr>
                <w:color w:val="161B2E"/>
                <w:sz w:val="19"/>
                <w:szCs w:val="19"/>
              </w:rPr>
              <w:t xml:space="preserve">Vaksinasi pada perempuan hamil sesuai indikasi.</w:t>
            </w:r>
          </w:p>
        </w:tc>
      </w:tr>
    </w:tbl>
    <w:p>
      <w:pPr>
        <w:spacing w:after="160"/>
      </w:pPr>
    </w:p>
    <w:p>
      <w:pPr>
        <w:pStyle w:val="Heading1"/>
        <w:pBdr>
          <w:bottom w:val="single" w:color="A9812F" w:sz="6" w:space="4"/>
        </w:pBdr>
        <w:spacing w:after="200" w:before="400"/>
      </w:pPr>
      <w:r>
        <w:t xml:space="preserve">BAB III — MENGENALI KASUS MEDIKO-LEGAL POTENSIAL</w:t>
      </w:r>
    </w:p>
    <w:p>
      <w:pPr>
        <w:spacing w:after="160" w:line="300"/>
        <w:jc w:val="both"/>
      </w:pPr>
      <w:r>
        <w:rPr>
          <w:color w:val="161B2E"/>
          <w:sz w:val="22"/>
          <w:szCs w:val="22"/>
        </w:rPr>
        <w:t xml:space="preserve">Dokter Spesialis wajib mampu mengenali situasi klinis dengan implikasi hukum — termasuk namun tidak terbatas pada dugaan kekerasan dalam rumah tangga, dugaan kekerasan seksual, kehamilan pada korban kekerasan seksual, dan kasus yang memerlukan pelaporan sesuai peraturan perundang-undangan — serta memahami kewajiban dokumentasi forensik dasar, koordinasi dengan pihak berwenang, dan perlindungan hak pasien selama proses tersebut berlangsung.</w:t>
      </w:r>
    </w:p>
    <w:p>
      <w:pPr>
        <w:pStyle w:val="Heading1"/>
        <w:pBdr>
          <w:bottom w:val="single" w:color="A9812F" w:sz="6" w:space="4"/>
        </w:pBdr>
        <w:spacing w:after="200" w:before="400"/>
      </w:pPr>
      <w:r>
        <w:t xml:space="preserve">BAB IV — PENDEKATAN BIOPSIKOSOSIAL HOLISTIK</w:t>
      </w:r>
    </w:p>
    <w:p>
      <w:pPr>
        <w:spacing w:after="160" w:line="300"/>
        <w:jc w:val="both"/>
      </w:pPr>
      <w:r>
        <w:rPr>
          <w:color w:val="161B2E"/>
          <w:sz w:val="22"/>
          <w:szCs w:val="22"/>
        </w:rPr>
        <w:t xml:space="preserve">Kompetensi ini menuntut Dokter Spesialis mempertimbangkan faktor sosial, ekonomi, dan psikologis pasien dalam setiap keputusan klinis — bukan hanya pada kasus yang eksplisit "sosial", melainkan sebagai lensa yang melekat pada seluruh praktik. Contoh penerapannya mencakup penyesuaian rencana tata laksana dengan kemampuan ekonomi pasien, pengenalan hambatan akses layanan kesehatan, dan kepekaan terhadap dinamika keluarga yang memengaruhi kepatuhan pasien terhadap rencana terapi.</w:t>
      </w:r>
    </w:p>
    <w:p>
      <w:pPr>
        <w:pStyle w:val="Heading1"/>
        <w:pBdr>
          <w:bottom w:val="single" w:color="A9812F" w:sz="6" w:space="4"/>
        </w:pBdr>
        <w:spacing w:after="200" w:before="400"/>
      </w:pPr>
      <w:r>
        <w:t xml:space="preserve">BAB V — KEHAMILAN REMAJA: DIMENSI SOSIAL DAN HUKUM</w:t>
      </w:r>
    </w:p>
    <w:p>
      <w:pPr>
        <w:spacing w:after="160" w:line="300"/>
        <w:jc w:val="both"/>
      </w:pPr>
      <w:r>
        <w:rPr>
          <w:color w:val="161B2E"/>
          <w:sz w:val="22"/>
          <w:szCs w:val="22"/>
        </w:rPr>
        <w:t xml:space="preserve">Selain risiko klinis yang dibahas pada Buku 2, kehamilan remaja menuntut kepekaan terhadap dimensi hukum (termasuk ketentuan mengenai usia dan persetujuan, perlindungan anak) dan dimensi sosial (dukungan pendidikan, risiko stigma, kebutuhan rujukan ke layanan dukungan psikososial). Dokter Spesialis berperan sebagai penghubung awal ke layanan pendukung yang lebih komprehensif, tanpa harus menyediakan seluruh dukungan tersebut secara langsung.</w:t>
      </w:r>
    </w:p>
    <w:p>
      <w:pPr>
        <w:pStyle w:val="Heading1"/>
        <w:pBdr>
          <w:bottom w:val="single" w:color="A9812F" w:sz="6" w:space="4"/>
        </w:pBdr>
        <w:spacing w:after="200" w:before="400"/>
      </w:pPr>
      <w:r>
        <w:t xml:space="preserve">BAB VI — KONTRASEPSI DALAM KONTEKS HAK REPRODUKSI</w:t>
      </w:r>
    </w:p>
    <w:p>
      <w:pPr>
        <w:spacing w:after="160" w:line="300"/>
        <w:jc w:val="both"/>
      </w:pPr>
      <w:r>
        <w:rPr>
          <w:color w:val="161B2E"/>
          <w:sz w:val="22"/>
          <w:szCs w:val="22"/>
        </w:rPr>
        <w:t xml:space="preserve">Melengkapi aspek klinis pada Buku 2, bab ini menekankan kontrasepsi sebagai bagian dari hak reproduksi pasien: penghormatan terhadap otonomi pilihan, informed consent yang bermakna (bukan formalitas), dan kepekaan terhadap konteks sosial-budaya yang dapat memengaruhi akses dan pilihan kontrasepsi pasien.</w:t>
      </w:r>
    </w:p>
    <w:p>
      <w:pPr>
        <w:pStyle w:val="Heading1"/>
        <w:pBdr>
          <w:bottom w:val="single" w:color="A9812F" w:sz="6" w:space="4"/>
        </w:pBdr>
        <w:spacing w:after="200" w:before="400"/>
      </w:pPr>
      <w:r>
        <w:t xml:space="preserve">BAB VII — VAKSINASI DALAM KEHAMILAN</w:t>
      </w:r>
    </w:p>
    <w:p>
      <w:pPr>
        <w:spacing w:after="160" w:line="300"/>
        <w:jc w:val="both"/>
      </w:pPr>
      <w:r>
        <w:rPr>
          <w:color w:val="161B2E"/>
          <w:sz w:val="22"/>
          <w:szCs w:val="22"/>
        </w:rPr>
        <w:t xml:space="preserve">Dokter Spesialis memberikan rekomendasi vaksinasi yang aman dan direkomendasikan selama kehamilan sesuai pedoman yang berlaku, serta mengedukasi pasien mengenai manfaat dan keamanannya untuk mengatasi keraguan (vaccine hesitancy) yang mungkin timbul.</w:t>
      </w:r>
    </w:p>
    <w:p>
      <w:pPr>
        <w:pStyle w:val="Heading1"/>
        <w:pBdr>
          <w:bottom w:val="single" w:color="A9812F" w:sz="6" w:space="4"/>
        </w:pBdr>
        <w:spacing w:after="200" w:before="400"/>
      </w:pPr>
      <w:r>
        <w:t xml:space="preserve">BAB VIII — RINGKASAN KOMPETENSI YANG HARUS DICAPAI</w:t>
      </w:r>
    </w:p>
    <w:p>
      <w:pPr>
        <w:pStyle w:val="ListParagraph"/>
        <w:numPr>
          <w:ilvl w:val="0"/>
          <w:numId w:val="2"/>
        </w:numPr>
        <w:spacing w:after="100" w:line="290"/>
        <w:jc w:val="both"/>
      </w:pPr>
      <w:r>
        <w:rPr>
          <w:color w:val="161B2E"/>
          <w:sz w:val="22"/>
          <w:szCs w:val="22"/>
        </w:rPr>
        <w:t xml:space="preserve">Mengenali kasus mediko-legal potensial dan memahami kewajiban dokumentasi serta pelaporannya.</w:t>
      </w:r>
    </w:p>
    <w:p>
      <w:pPr>
        <w:pStyle w:val="ListParagraph"/>
        <w:numPr>
          <w:ilvl w:val="0"/>
          <w:numId w:val="2"/>
        </w:numPr>
        <w:spacing w:after="100" w:line="290"/>
        <w:jc w:val="both"/>
      </w:pPr>
      <w:r>
        <w:rPr>
          <w:color w:val="161B2E"/>
          <w:sz w:val="22"/>
          <w:szCs w:val="22"/>
        </w:rPr>
        <w:t xml:space="preserve">Menerapkan pendekatan biopsikososial holistik dalam praktik klinis sehari-hari.</w:t>
      </w:r>
    </w:p>
    <w:p>
      <w:pPr>
        <w:pStyle w:val="ListParagraph"/>
        <w:numPr>
          <w:ilvl w:val="0"/>
          <w:numId w:val="2"/>
        </w:numPr>
        <w:spacing w:after="100" w:line="290"/>
        <w:jc w:val="both"/>
      </w:pPr>
      <w:r>
        <w:rPr>
          <w:color w:val="161B2E"/>
          <w:sz w:val="22"/>
          <w:szCs w:val="22"/>
        </w:rPr>
        <w:t xml:space="preserve">Menangani kehamilan remaja dengan mempertimbangkan dimensi hukum dan sosial.</w:t>
      </w:r>
    </w:p>
    <w:p>
      <w:pPr>
        <w:pStyle w:val="ListParagraph"/>
        <w:numPr>
          <w:ilvl w:val="0"/>
          <w:numId w:val="2"/>
        </w:numPr>
        <w:spacing w:after="100" w:line="290"/>
        <w:jc w:val="both"/>
      </w:pPr>
      <w:r>
        <w:rPr>
          <w:color w:val="161B2E"/>
          <w:sz w:val="22"/>
          <w:szCs w:val="22"/>
        </w:rPr>
        <w:t xml:space="preserve">Memberikan konseling kontrasepsi yang menghormati hak reproduksi pasien.</w:t>
      </w:r>
    </w:p>
    <w:p>
      <w:pPr>
        <w:pStyle w:val="ListParagraph"/>
        <w:numPr>
          <w:ilvl w:val="0"/>
          <w:numId w:val="2"/>
        </w:numPr>
        <w:spacing w:after="100" w:line="290"/>
        <w:jc w:val="both"/>
      </w:pPr>
      <w:r>
        <w:rPr>
          <w:color w:val="161B2E"/>
          <w:sz w:val="22"/>
          <w:szCs w:val="22"/>
        </w:rPr>
        <w:t xml:space="preserve">Memberikan edukasi dan rekomendasi vaksinasi yang tepat selama kehamilan.</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478"/>
        <w:sz w:val="15"/>
        <w:szCs w:val="15"/>
      </w:rPr>
      <w:t xml:space="preserve">Halaman </w:t>
    </w:r>
    <w:r>
      <w:rPr>
        <w:color w:val="5B6478"/>
        <w:sz w:val="15"/>
        <w:szCs w:val="15"/>
      </w:rPr>
      <w:fldChar w:fldCharType="begin"/>
      <w:instrText xml:space="preserve">PAGE</w:instrText>
      <w:fldChar w:fldCharType="separate"/>
      <w:fldChar w:fldCharType="end"/>
    </w:r>
    <w:r>
      <w:rPr>
        <w:color w:val="5B6478"/>
        <w:sz w:val="15"/>
        <w:szCs w:val="15"/>
      </w:rPr>
      <w:t xml:space="preserve"> dari </w:t>
    </w:r>
    <w:r>
      <w:rPr>
        <w:color w:val="5B6478"/>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B6478"/>
        <w:sz w:val="15"/>
        <w:szCs w:val="15"/>
      </w:rPr>
      <w:t xml:space="preserve">Perpustakaan Digital ABBA · Buku 11 dari 15 — Seri Buku Ajar Inti Kompetensi Dokter Spesialis Obstetri dan Ginekologi (SpOG)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20" w:hanging="260"/>
      </w:pPr>
    </w:lvl>
  </w:abstractNum>
  <w:abstractNum w:abstractNumId="3" w15:restartNumberingAfterBreak="0">
    <w:multiLevelType w:val="hybridMultilevel"/>
    <w:lvl w:ilvl="0" w15:tentative="1">
      <w:start w:val="1"/>
      <w:numFmt w:val="decimal"/>
      <w:lvlText w:val="%1."/>
      <w:lvlJc w:val="left"/>
      <w:pPr>
        <w:ind w:left="5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61B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Cambria" w:cs="Cambria" w:eastAsia="Cambria" w:hAnsi="Cambria"/>
      <w:b/>
      <w:bCs/>
      <w:color w:val="1C2749"/>
      <w:sz w:val="30"/>
      <w:szCs w:val="30"/>
    </w:rPr>
  </w:style>
  <w:style w:type="paragraph" w:styleId="Heading2">
    <w:name w:val="Heading 2"/>
    <w:basedOn w:val="Normal"/>
    <w:next w:val="Normal"/>
    <w:qFormat/>
    <w:rPr>
      <w:rFonts w:ascii="Cambria" w:cs="Cambria" w:eastAsia="Cambria" w:hAnsi="Cambria"/>
      <w:b/>
      <w:bCs/>
      <w:color w:val="2C3A64"/>
      <w:sz w:val="25"/>
      <w:szCs w:val="25"/>
    </w:rPr>
  </w:style>
  <w:style w:type="paragraph" w:styleId="Heading3">
    <w:name w:val="Heading 3"/>
    <w:basedOn w:val="Normal"/>
    <w:next w:val="Normal"/>
    <w:qFormat/>
    <w:rPr>
      <w:rFonts w:ascii="Cambria" w:cs="Cambria" w:eastAsia="Cambria" w:hAnsi="Cambria"/>
      <w:b/>
      <w:bCs/>
      <w:color w:val="A9812F"/>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2026-07-13T07:48:44.105Z</dcterms:created>
  <dcterms:modified xsi:type="dcterms:W3CDTF">2026-07-13T07:48:44.106Z</dcterms:modified>
</cp:coreProperties>
</file>

<file path=docProps/custom.xml><?xml version="1.0" encoding="utf-8"?>
<Properties xmlns="http://schemas.openxmlformats.org/officeDocument/2006/custom-properties" xmlns:vt="http://schemas.openxmlformats.org/officeDocument/2006/docPropsVTypes"/>
</file>