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14 DARI 15 — SERI BUKU AJAR INTI KOMPETENSI DOKTER SPESIALIS OBSTETRI DAN GINEKOLOGI (SPOG)</w:t>
      </w:r>
    </w:p>
    <w:p>
      <w:pPr>
        <w:spacing w:after="500"/>
        <w:jc w:val="center"/>
      </w:pPr>
      <w:r>
        <w:rPr>
          <w:b/>
          <w:bCs/>
          <w:color w:val="1C2749"/>
          <w:sz w:val="40"/>
          <w:szCs w:val="40"/>
        </w:rPr>
        <w:t xml:space="preserve">Komunikasi Interpersonal, Profesionalisme, Praktik Berbasis Sistem, dan Kesadaran Biaya</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empat Area Kompetensi yang bersifat lintas-kasus dan menyempurnakan kompetensi klinis yang telah dibahas pada Buku 1 sampai 13: komunikasi interpersonal, profesionalisme, praktik berbasis sistem, dan kesadaran biaya. Keempatnya sering kurang mendapat perhatian dibandingkan kompetensi klinis-teknis, padahal secara konsisten terbukti memengaruhi luaran pasien dan keberlangsungan sistem pelayanan.</w:t>
      </w:r>
    </w:p>
    <w:p>
      <w:pPr>
        <w:pStyle w:val="Heading1"/>
        <w:pBdr>
          <w:bottom w:val="single" w:color="A9812F" w:sz="6" w:space="4"/>
        </w:pBdr>
        <w:spacing w:after="200" w:before="400"/>
      </w:pPr>
      <w:r>
        <w:t xml:space="preserve">BAB II — KOMUNIKASI INTERPERSONAL</w:t>
      </w:r>
    </w:p>
    <w:p>
      <w:pPr>
        <w:spacing w:after="160" w:line="300"/>
        <w:jc w:val="both"/>
      </w:pPr>
      <w:r>
        <w:rPr>
          <w:color w:val="161B2E"/>
          <w:sz w:val="22"/>
          <w:szCs w:val="22"/>
        </w:rPr>
        <w:t xml:space="preserve">Komunikasi efektif dengan pasien mencakup penyampaian informasi diagnosis dan rencana tata laksana dengan bahasa yang dapat dipahami, penyampaian kabar buruk (mis. kematian janin dalam kandungan, diagnosis keganasan) dengan empati, dan perolehan persetujuan tindakan yang bermakna, bukan sekadar formalitas administratif. Komunikasi dengan sejawat dan tenaga kesehatan lain mencakup serah terima pasien (handover) yang terstruktur dan komunikasi tim yang efektif dalam situasi kegawatdaruratan.</w:t>
      </w:r>
    </w:p>
    <w:p>
      <w:pPr>
        <w:pStyle w:val="Heading1"/>
        <w:pBdr>
          <w:bottom w:val="single" w:color="A9812F" w:sz="6" w:space="4"/>
        </w:pBdr>
        <w:spacing w:after="200" w:before="400"/>
      </w:pPr>
      <w:r>
        <w:t xml:space="preserve">BAB III — PROFESIONALISME</w:t>
      </w:r>
    </w:p>
    <w:p>
      <w:pPr>
        <w:pStyle w:val="ListParagraph"/>
        <w:numPr>
          <w:ilvl w:val="0"/>
          <w:numId w:val="2"/>
        </w:numPr>
        <w:spacing w:after="100" w:line="290"/>
        <w:jc w:val="both"/>
      </w:pPr>
      <w:r>
        <w:rPr>
          <w:color w:val="161B2E"/>
          <w:sz w:val="22"/>
          <w:szCs w:val="22"/>
        </w:rPr>
        <w:t xml:space="preserve">Integritas dan kejujuran dalam praktik klinis dan dokumentasi.</w:t>
      </w:r>
    </w:p>
    <w:p>
      <w:pPr>
        <w:pStyle w:val="ListParagraph"/>
        <w:numPr>
          <w:ilvl w:val="0"/>
          <w:numId w:val="2"/>
        </w:numPr>
        <w:spacing w:after="100" w:line="290"/>
        <w:jc w:val="both"/>
      </w:pPr>
      <w:r>
        <w:rPr>
          <w:color w:val="161B2E"/>
          <w:sz w:val="22"/>
          <w:szCs w:val="22"/>
        </w:rPr>
        <w:t xml:space="preserve">Kesadaran akan batas kompetensi diri dan kesediaan mencari bantuan atau merujuk ketika diperlukan.</w:t>
      </w:r>
    </w:p>
    <w:p>
      <w:pPr>
        <w:pStyle w:val="ListParagraph"/>
        <w:numPr>
          <w:ilvl w:val="0"/>
          <w:numId w:val="2"/>
        </w:numPr>
        <w:spacing w:after="100" w:line="290"/>
        <w:jc w:val="both"/>
      </w:pPr>
      <w:r>
        <w:rPr>
          <w:color w:val="161B2E"/>
          <w:sz w:val="22"/>
          <w:szCs w:val="22"/>
        </w:rPr>
        <w:t xml:space="preserve">Akuntabilitas terhadap keputusan klinis yang diambil.</w:t>
      </w:r>
    </w:p>
    <w:p>
      <w:pPr>
        <w:pStyle w:val="ListParagraph"/>
        <w:numPr>
          <w:ilvl w:val="0"/>
          <w:numId w:val="2"/>
        </w:numPr>
        <w:spacing w:after="100" w:line="290"/>
        <w:jc w:val="both"/>
      </w:pPr>
      <w:r>
        <w:rPr>
          <w:color w:val="161B2E"/>
          <w:sz w:val="22"/>
          <w:szCs w:val="22"/>
        </w:rPr>
        <w:t xml:space="preserve">Komitmen terhadap pembelajaran berkelanjutan sepanjang karier.</w:t>
      </w:r>
    </w:p>
    <w:p>
      <w:pPr>
        <w:pStyle w:val="ListParagraph"/>
        <w:numPr>
          <w:ilvl w:val="0"/>
          <w:numId w:val="2"/>
        </w:numPr>
        <w:spacing w:after="100" w:line="290"/>
        <w:jc w:val="both"/>
      </w:pPr>
      <w:r>
        <w:rPr>
          <w:color w:val="161B2E"/>
          <w:sz w:val="22"/>
          <w:szCs w:val="22"/>
        </w:rPr>
        <w:t xml:space="preserve">Kepekaan terhadap kesejahteraan diri sendiri (pencegahan burnout) sebagai prasyarat memberikan pelayanan yang aman bagi pasien.</w:t>
      </w:r>
    </w:p>
    <w:p>
      <w:pPr>
        <w:pStyle w:val="Heading1"/>
        <w:pBdr>
          <w:bottom w:val="single" w:color="A9812F" w:sz="6" w:space="4"/>
        </w:pBdr>
        <w:spacing w:after="200" w:before="400"/>
      </w:pPr>
      <w:r>
        <w:t xml:space="preserve">BAB IV — PRAKTIK BERBASIS SISTEM</w:t>
      </w:r>
    </w:p>
    <w:p>
      <w:pPr>
        <w:spacing w:after="160" w:line="300"/>
        <w:jc w:val="both"/>
      </w:pPr>
      <w:r>
        <w:rPr>
          <w:color w:val="161B2E"/>
          <w:sz w:val="22"/>
          <w:szCs w:val="22"/>
        </w:rPr>
        <w:t xml:space="preserve">Dokter Spesialis beroperasi dalam sistem pelayanan kesehatan yang lebih luas, menuntut pemahaman terhadap alur rujukan berjenjang, koordinasi dengan fasilitas kesehatan tingkat pertama dan tingkat lanjut, partisipasi dalam sistem jaminan kesehatan nasional, dan kontribusi terhadap perbaikan sistem di unit kerja (bukan sekadar bekerja di dalam sistem tanpa upaya memperbaikinya).</w:t>
      </w:r>
    </w:p>
    <w:p>
      <w:pPr>
        <w:pStyle w:val="Heading1"/>
        <w:pBdr>
          <w:bottom w:val="single" w:color="A9812F" w:sz="6" w:space="4"/>
        </w:pBdr>
        <w:spacing w:after="200" w:before="400"/>
      </w:pPr>
      <w:r>
        <w:t xml:space="preserve">BAB V — KESADARAN BIAYA</w:t>
      </w:r>
    </w:p>
    <w:p>
      <w:pPr>
        <w:spacing w:after="160" w:line="300"/>
        <w:jc w:val="both"/>
      </w:pPr>
      <w:r>
        <w:rPr>
          <w:color w:val="161B2E"/>
          <w:sz w:val="22"/>
          <w:szCs w:val="22"/>
        </w:rPr>
        <w:t xml:space="preserve">Kesadaran biaya menuntut Dokter Spesialis mempertimbangkan efektivitas biaya dalam pengambilan keputusan klinis — memilih pemeriksaan penunjang dan tata laksana yang memberikan manfaat klinis optimal tanpa pemborosan sumber daya, terutama dalam konteks sistem kesehatan dengan keterbatasan sumber daya, tanpa mengorbankan standar keselamatan dan mutu pelayanan pasien.</w:t>
      </w:r>
    </w:p>
    <w:p>
      <w:pPr>
        <w:pStyle w:val="Heading1"/>
        <w:pBdr>
          <w:bottom w:val="single" w:color="A9812F" w:sz="6" w:space="4"/>
        </w:pBdr>
        <w:spacing w:after="200" w:before="400"/>
      </w:pPr>
      <w:r>
        <w:t xml:space="preserve">BAB VI — INTEGRASI KEEMPAT KOMPETENSI DALAM PRAKTIK SEHARI-HARI</w:t>
      </w:r>
    </w:p>
    <w:p>
      <w:pPr>
        <w:spacing w:after="160" w:line="300"/>
        <w:jc w:val="both"/>
      </w:pPr>
      <w:r>
        <w:rPr>
          <w:color w:val="161B2E"/>
          <w:sz w:val="22"/>
          <w:szCs w:val="22"/>
        </w:rPr>
        <w:t xml:space="preserve">Keempat kompetensi dalam buku ini tidak berdiri sendiri, melainkan terjalin dalam setiap interaksi klinis: komunikasi yang baik mendukung profesionalisme, pemahaman sistem mendukung kesadaran biaya, dan sebaliknya. Evaluasi kompetensi ini dilakukan melalui observasi berkelanjutan sepanjang masa pendidikan, bukan melalui ujian satu kali, sebagaimana diatur dalam Dokumen 1 Bab X (Klaster RS).</w:t>
      </w:r>
    </w:p>
    <w:p>
      <w:pPr>
        <w:pStyle w:val="Heading1"/>
        <w:pBdr>
          <w:bottom w:val="single" w:color="A9812F" w:sz="6" w:space="4"/>
        </w:pBdr>
        <w:spacing w:after="200" w:before="400"/>
      </w:pPr>
      <w:r>
        <w:t xml:space="preserve">BAB VII — KONTRIBUSI DIVISI OBGINSOS</w:t>
      </w:r>
    </w:p>
    <w:p>
      <w:pPr>
        <w:pStyle w:val="Heading2"/>
        <w:spacing w:after="140" w:before="280"/>
      </w:pPr>
      <w:r>
        <w:t xml:space="preserve">A. Deskripsi</w:t>
      </w:r>
    </w:p>
    <w:p>
      <w:pPr>
        <w:spacing w:after="160" w:line="300"/>
        <w:jc w:val="both"/>
      </w:pPr>
      <w:r>
        <w:rPr>
          <w:color w:val="161B2E"/>
          <w:sz w:val="22"/>
          <w:szCs w:val="22"/>
        </w:rPr>
        <w:t xml:space="preserve">Komunikasi, profesionalisme, pemahaman sistem, dan kesadaran biaya adalah empat kompetensi yang paling menentukan apakah pengetahuan klinis Anda benar-benar sampai dan bermanfaat bagi pasien di lapangan, atau berhenti sebagai teori yang tidak tersampaikan. Divisi Obginsos memandang keempatnya sebagai jembatan antara kompetensi klinis yang telah Anda kuasai di Buku 1 sampai 13, dengan keadilan sosial dalam pelayanan kesehatan yang menjadi inti filosofi pendidikan ini.</w:t>
      </w:r>
    </w:p>
    <w:p>
      <w:pPr>
        <w:pStyle w:val="Heading2"/>
        <w:spacing w:after="140" w:before="280"/>
      </w:pPr>
      <w:r>
        <w:t xml:space="preserve">B. Komunikasi Lintas Budaya dan Kesadaran Biaya sebagai Keadilan Sosial</w:t>
      </w:r>
    </w:p>
    <w:p>
      <w:pPr>
        <w:spacing w:after="160" w:line="300"/>
        <w:jc w:val="both"/>
      </w:pPr>
      <w:r>
        <w:rPr>
          <w:color w:val="161B2E"/>
          <w:sz w:val="22"/>
          <w:szCs w:val="22"/>
        </w:rPr>
        <w:t xml:space="preserve">Materi ini membahas komunikasi klinis yang efektif lintas latar belakang bahasa, budaya, dan tingkat pendidikan pasien — termasuk penggunaan bahasa daerah atau penerjemah bila diperlukan, dan pengujian pemahaman pasien (bukan sekadar bertanya "sudah paham?") setelah penjelasan diberikan. Praktik berbasis sistem dibahas melalui pemahaman alur rujukan berjenjang Jaminan Kesehatan Nasional dan hambatan administratif yang sering dihadapi pasien dari kelompok rentan. Kesadaran biaya diajarkan bukan sebagai penghematan semata, melainkan sebagai bentuk keadilan: memastikan sumber daya kesehatan yang terbatas digunakan seefektif mungkin agar dapat menjangkau lebih banyak pasien yang membutuhkan.</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peserta didik hendak menjelaskan rencana tata laksana operatif kepada pasien lanjut usia dari suku dengan bahasa ibu berbeda, yang hanya memahami sedikit Bahasa Indonesia. Alih-alih menyederhanakan penjelasan lewat anggota keluarga yang belum tentu menyampaikan informasi secara akurat, pembimbingan Divisi Obginsos mengarahkan penggunaan juru bahasa daerah yang tersedia di rumah sakit, memastikan pasien sendiri (bukan hanya keluarganya) memahami dan menyetujui rencana tindakan yang akan dijalaninya — menegaskan bahwa hak atas informasi yang dipahami berlaku universal, terlepas dari hambatan bahasa maupun status sosial pasien.</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Berkomunikasi secara efektif dan empatik dengan pasien, keluarga, dan tim.</w:t>
      </w:r>
    </w:p>
    <w:p>
      <w:pPr>
        <w:pStyle w:val="ListParagraph"/>
        <w:numPr>
          <w:ilvl w:val="0"/>
          <w:numId w:val="2"/>
        </w:numPr>
        <w:spacing w:after="100" w:line="290"/>
        <w:jc w:val="both"/>
      </w:pPr>
      <w:r>
        <w:rPr>
          <w:color w:val="161B2E"/>
          <w:sz w:val="22"/>
          <w:szCs w:val="22"/>
        </w:rPr>
        <w:t xml:space="preserve">Menunjukkan profesionalisme, integritas, dan kesadaran batas kompetensi diri.</w:t>
      </w:r>
    </w:p>
    <w:p>
      <w:pPr>
        <w:pStyle w:val="ListParagraph"/>
        <w:numPr>
          <w:ilvl w:val="0"/>
          <w:numId w:val="2"/>
        </w:numPr>
        <w:spacing w:after="100" w:line="290"/>
        <w:jc w:val="both"/>
      </w:pPr>
      <w:r>
        <w:rPr>
          <w:color w:val="161B2E"/>
          <w:sz w:val="22"/>
          <w:szCs w:val="22"/>
        </w:rPr>
        <w:t xml:space="preserve">Berpraktik dengan pemahaman terhadap sistem pelayanan kesehatan yang lebih luas.</w:t>
      </w:r>
    </w:p>
    <w:p>
      <w:pPr>
        <w:pStyle w:val="ListParagraph"/>
        <w:numPr>
          <w:ilvl w:val="0"/>
          <w:numId w:val="2"/>
        </w:numPr>
        <w:spacing w:after="100" w:line="290"/>
        <w:jc w:val="both"/>
      </w:pPr>
      <w:r>
        <w:rPr>
          <w:color w:val="161B2E"/>
          <w:sz w:val="22"/>
          <w:szCs w:val="22"/>
        </w:rPr>
        <w:t xml:space="preserve">Mempertimbangkan efektivitas biaya dalam pengambilan keputusan klinis.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14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2026-07-13T07:57:21.928Z</dcterms:created>
  <dcterms:modified xsi:type="dcterms:W3CDTF">2026-07-13T07:57:21.928Z</dcterms:modified>
</cp:coreProperties>
</file>

<file path=docProps/custom.xml><?xml version="1.0" encoding="utf-8"?>
<Properties xmlns="http://schemas.openxmlformats.org/officeDocument/2006/custom-properties" xmlns:vt="http://schemas.openxmlformats.org/officeDocument/2006/docPropsVTypes"/>
</file>